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440CAD" w:rsidRDefault="00697913" w:rsidP="000C2EC9">
      <w:pPr>
        <w:pStyle w:val="Header"/>
        <w:tabs>
          <w:tab w:val="clear" w:pos="9072"/>
          <w:tab w:val="right" w:pos="9680"/>
        </w:tabs>
        <w:spacing w:after="0"/>
        <w:jc w:val="both"/>
        <w:rPr>
          <w:rFonts w:ascii="Times New Roman" w:eastAsia="SimSun" w:hAnsi="Times New Roman"/>
          <w:sz w:val="24"/>
          <w:lang w:eastAsia="zh-CN"/>
        </w:rPr>
      </w:pPr>
      <w:r>
        <w:rPr>
          <w:rFonts w:ascii="Times New Roman" w:eastAsia="SimSun" w:hAnsi="Times New Roman"/>
          <w:sz w:val="24"/>
          <w:lang w:eastAsia="zh-CN"/>
        </w:rPr>
        <w:t>3GPP TSG RAN WG1 #118b</w:t>
      </w:r>
      <w:r w:rsidR="000C2EC9">
        <w:rPr>
          <w:rFonts w:ascii="Times New Roman" w:eastAsia="SimSun" w:hAnsi="Times New Roman"/>
          <w:sz w:val="24"/>
          <w:lang w:eastAsia="zh-CN"/>
        </w:rPr>
        <w:t>is</w:t>
      </w:r>
      <w:r>
        <w:rPr>
          <w:rFonts w:ascii="Times New Roman" w:eastAsia="SimSun" w:hAnsi="Times New Roman"/>
          <w:sz w:val="24"/>
          <w:lang w:eastAsia="zh-CN"/>
        </w:rPr>
        <w:t xml:space="preserve">                                                                              R1-240815</w:t>
      </w:r>
      <w:r w:rsidR="00077AFB">
        <w:rPr>
          <w:rFonts w:ascii="Times New Roman" w:eastAsia="SimSun" w:hAnsi="Times New Roman"/>
          <w:sz w:val="24"/>
          <w:lang w:eastAsia="zh-CN"/>
        </w:rPr>
        <w:t>5</w:t>
      </w:r>
    </w:p>
    <w:p w:rsidR="00440CAD" w:rsidRDefault="00697913">
      <w:pPr>
        <w:pStyle w:val="Header"/>
        <w:rPr>
          <w:rFonts w:ascii="Times New Roman" w:eastAsiaTheme="minorEastAsia" w:hAnsi="Times New Roman"/>
          <w:sz w:val="24"/>
          <w:lang w:eastAsia="zh-CN"/>
        </w:rPr>
      </w:pPr>
      <w:r>
        <w:rPr>
          <w:rFonts w:ascii="Times New Roman" w:hAnsi="Times New Roman"/>
          <w:bCs/>
          <w:sz w:val="24"/>
          <w:lang w:eastAsia="ja-JP"/>
        </w:rPr>
        <w:t>Hefei, China, October 14</w:t>
      </w:r>
      <w:r>
        <w:rPr>
          <w:rFonts w:ascii="Times New Roman" w:eastAsia="Malgun Gothic" w:hAnsi="Times New Roman"/>
          <w:bCs/>
          <w:sz w:val="24"/>
          <w:vertAlign w:val="superscript"/>
          <w:lang w:eastAsia="ko-KR"/>
        </w:rPr>
        <w:t>th</w:t>
      </w:r>
      <w:r>
        <w:rPr>
          <w:rFonts w:ascii="Times New Roman" w:hAnsi="Times New Roman"/>
          <w:bCs/>
          <w:sz w:val="24"/>
          <w:lang w:eastAsia="ja-JP"/>
        </w:rPr>
        <w:t xml:space="preserve"> </w:t>
      </w:r>
      <w:r>
        <w:rPr>
          <w:rFonts w:ascii="Times New Roman" w:hAnsi="Times New Roman"/>
          <w:bCs/>
          <w:sz w:val="24"/>
        </w:rPr>
        <w:t xml:space="preserve">– </w:t>
      </w:r>
      <w:r>
        <w:rPr>
          <w:rFonts w:ascii="Times New Roman" w:hAnsi="Times New Roman"/>
          <w:bCs/>
          <w:sz w:val="24"/>
          <w:lang w:eastAsia="ja-JP"/>
        </w:rPr>
        <w:t>18</w:t>
      </w:r>
      <w:r>
        <w:rPr>
          <w:rFonts w:ascii="Times New Roman" w:hAnsi="Times New Roman"/>
          <w:bCs/>
          <w:sz w:val="24"/>
          <w:vertAlign w:val="superscript"/>
          <w:lang w:eastAsia="ja-JP"/>
        </w:rPr>
        <w:t>th</w:t>
      </w:r>
      <w:r>
        <w:rPr>
          <w:rFonts w:ascii="Times New Roman" w:hAnsi="Times New Roman"/>
          <w:bCs/>
          <w:sz w:val="24"/>
          <w:lang w:eastAsia="ja-JP"/>
        </w:rPr>
        <w:t>, 2024</w:t>
      </w:r>
    </w:p>
    <w:p w:rsidR="00440CAD" w:rsidRDefault="00440CAD">
      <w:pPr>
        <w:tabs>
          <w:tab w:val="left" w:pos="1800"/>
          <w:tab w:val="right" w:pos="9072"/>
        </w:tabs>
        <w:spacing w:after="120"/>
        <w:ind w:left="1800" w:hanging="1800"/>
        <w:jc w:val="both"/>
        <w:rPr>
          <w:rFonts w:eastAsia="SimSun"/>
          <w:b/>
          <w:sz w:val="22"/>
          <w:szCs w:val="22"/>
          <w:highlight w:val="yellow"/>
          <w:lang w:eastAsia="zh-CN"/>
        </w:rPr>
      </w:pPr>
    </w:p>
    <w:p w:rsidR="00440CAD" w:rsidRDefault="00697913">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t>OPPO</w:t>
      </w:r>
    </w:p>
    <w:p w:rsidR="00440CAD" w:rsidRDefault="00697913">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Study on ISAC channel modelling</w:t>
      </w:r>
    </w:p>
    <w:p w:rsidR="00440CAD" w:rsidRDefault="00697913">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Agenda Item:</w:t>
      </w:r>
      <w:r>
        <w:rPr>
          <w:rFonts w:ascii="Times New Roman" w:hAnsi="Times New Roman"/>
          <w:sz w:val="22"/>
          <w:szCs w:val="22"/>
        </w:rPr>
        <w:tab/>
        <w:t>9.7.2</w:t>
      </w:r>
    </w:p>
    <w:p w:rsidR="00440CAD" w:rsidRDefault="00697913">
      <w:pPr>
        <w:pStyle w:val="Header"/>
        <w:tabs>
          <w:tab w:val="left" w:pos="1800"/>
        </w:tabs>
        <w:spacing w:after="120"/>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n and Decision</w:t>
      </w:r>
    </w:p>
    <w:p w:rsidR="00440CAD" w:rsidRDefault="00440CAD">
      <w:pPr>
        <w:pBdr>
          <w:bottom w:val="single" w:sz="4" w:space="1" w:color="auto"/>
        </w:pBdr>
        <w:tabs>
          <w:tab w:val="left" w:pos="2552"/>
        </w:tabs>
        <w:rPr>
          <w:rFonts w:eastAsia="SimSun"/>
          <w:lang w:eastAsia="zh-CN"/>
        </w:rPr>
      </w:pPr>
      <w:bookmarkStart w:id="0" w:name="Source"/>
      <w:bookmarkStart w:id="1" w:name="DocumentFor"/>
      <w:bookmarkEnd w:id="0"/>
      <w:bookmarkEnd w:id="1"/>
    </w:p>
    <w:p w:rsidR="00440CAD" w:rsidRDefault="00697913">
      <w:pPr>
        <w:pStyle w:val="Heading1"/>
        <w:rPr>
          <w:rFonts w:ascii="Times New Roman" w:hAnsi="Times New Roman" w:cs="Times New Roman"/>
        </w:rPr>
      </w:pPr>
      <w:r>
        <w:rPr>
          <w:rFonts w:ascii="Times New Roman" w:hAnsi="Times New Roman" w:cs="Times New Roman"/>
        </w:rPr>
        <w:t>Introduction</w:t>
      </w:r>
    </w:p>
    <w:p w:rsidR="00440CAD" w:rsidRDefault="00697913">
      <w:pPr>
        <w:spacing w:after="0"/>
        <w:rPr>
          <w:bCs/>
        </w:rPr>
      </w:pPr>
      <w:r>
        <w:rPr>
          <w:bCs/>
        </w:rPr>
        <w:t xml:space="preserve">This contribution elaborates our views on the following issues in the ISAC channel modeling: </w:t>
      </w:r>
    </w:p>
    <w:p w:rsidR="00440CAD" w:rsidRDefault="00697913">
      <w:pPr>
        <w:pStyle w:val="ListParagraph"/>
        <w:numPr>
          <w:ilvl w:val="0"/>
          <w:numId w:val="8"/>
        </w:numPr>
        <w:ind w:leftChars="0"/>
        <w:rPr>
          <w:bCs/>
          <w:sz w:val="20"/>
        </w:rPr>
      </w:pPr>
      <w:r>
        <w:rPr>
          <w:bCs/>
          <w:sz w:val="20"/>
        </w:rPr>
        <w:t>Physical object modelling</w:t>
      </w:r>
    </w:p>
    <w:p w:rsidR="00440CAD" w:rsidRDefault="00697913">
      <w:pPr>
        <w:pStyle w:val="ListParagraph"/>
        <w:numPr>
          <w:ilvl w:val="1"/>
          <w:numId w:val="8"/>
        </w:numPr>
        <w:ind w:leftChars="0"/>
        <w:rPr>
          <w:bCs/>
          <w:sz w:val="20"/>
        </w:rPr>
      </w:pPr>
      <w:r>
        <w:rPr>
          <w:bCs/>
          <w:sz w:val="20"/>
        </w:rPr>
        <w:t>RCS components (A &amp; B) in large-scale fading and small-scale fading</w:t>
      </w:r>
    </w:p>
    <w:p w:rsidR="00440CAD" w:rsidRDefault="00697913">
      <w:pPr>
        <w:pStyle w:val="ListParagraph"/>
        <w:numPr>
          <w:ilvl w:val="1"/>
          <w:numId w:val="8"/>
        </w:numPr>
        <w:ind w:leftChars="0"/>
        <w:rPr>
          <w:bCs/>
          <w:sz w:val="20"/>
        </w:rPr>
      </w:pPr>
      <w:r>
        <w:rPr>
          <w:bCs/>
          <w:sz w:val="20"/>
        </w:rPr>
        <w:t>Modelling of Type-1 EO</w:t>
      </w:r>
    </w:p>
    <w:p w:rsidR="00440CAD" w:rsidRDefault="00697913">
      <w:pPr>
        <w:pStyle w:val="ListParagraph"/>
        <w:numPr>
          <w:ilvl w:val="0"/>
          <w:numId w:val="8"/>
        </w:numPr>
        <w:ind w:leftChars="0"/>
        <w:rPr>
          <w:bCs/>
          <w:sz w:val="20"/>
        </w:rPr>
      </w:pPr>
      <w:r>
        <w:rPr>
          <w:bCs/>
          <w:sz w:val="20"/>
        </w:rPr>
        <w:t>Target channel modelling</w:t>
      </w:r>
    </w:p>
    <w:p w:rsidR="00440CAD" w:rsidRDefault="00697913">
      <w:pPr>
        <w:pStyle w:val="ListParagraph"/>
        <w:numPr>
          <w:ilvl w:val="1"/>
          <w:numId w:val="8"/>
        </w:numPr>
        <w:ind w:leftChars="0"/>
        <w:rPr>
          <w:bCs/>
          <w:sz w:val="20"/>
        </w:rPr>
      </w:pPr>
      <w:r>
        <w:rPr>
          <w:bCs/>
          <w:sz w:val="20"/>
        </w:rPr>
        <w:t>LOS ray modelling between deterministic free-space propagation and stochastic LOS component in 38.901</w:t>
      </w:r>
    </w:p>
    <w:p w:rsidR="00440CAD" w:rsidRDefault="00697913">
      <w:pPr>
        <w:pStyle w:val="ListParagraph"/>
        <w:numPr>
          <w:ilvl w:val="1"/>
          <w:numId w:val="8"/>
        </w:numPr>
        <w:ind w:leftChars="0"/>
        <w:rPr>
          <w:bCs/>
          <w:sz w:val="20"/>
        </w:rPr>
      </w:pPr>
      <w:r>
        <w:rPr>
          <w:bCs/>
          <w:sz w:val="20"/>
        </w:rPr>
        <w:t>Number of direct paths for a target assuming single scattering point</w:t>
      </w:r>
    </w:p>
    <w:p w:rsidR="00440CAD" w:rsidRDefault="00697913">
      <w:pPr>
        <w:pStyle w:val="ListParagraph"/>
        <w:numPr>
          <w:ilvl w:val="1"/>
          <w:numId w:val="8"/>
        </w:numPr>
        <w:ind w:leftChars="0"/>
        <w:rPr>
          <w:bCs/>
          <w:sz w:val="20"/>
        </w:rPr>
      </w:pPr>
      <w:r>
        <w:rPr>
          <w:bCs/>
          <w:sz w:val="20"/>
        </w:rPr>
        <w:t xml:space="preserve">Micro-doppler </w:t>
      </w:r>
      <w:r w:rsidR="00DE26F6">
        <w:rPr>
          <w:bCs/>
          <w:sz w:val="20"/>
        </w:rPr>
        <w:t>modelling</w:t>
      </w:r>
    </w:p>
    <w:p w:rsidR="00440CAD" w:rsidRDefault="00697913">
      <w:pPr>
        <w:pStyle w:val="ListParagraph"/>
        <w:numPr>
          <w:ilvl w:val="0"/>
          <w:numId w:val="8"/>
        </w:numPr>
        <w:ind w:leftChars="0"/>
        <w:rPr>
          <w:bCs/>
          <w:sz w:val="20"/>
        </w:rPr>
      </w:pPr>
      <w:r>
        <w:rPr>
          <w:bCs/>
          <w:sz w:val="20"/>
        </w:rPr>
        <w:t>Background channel modelling</w:t>
      </w:r>
    </w:p>
    <w:p w:rsidR="00440CAD" w:rsidRDefault="00697913">
      <w:pPr>
        <w:pStyle w:val="ListParagraph"/>
        <w:numPr>
          <w:ilvl w:val="1"/>
          <w:numId w:val="8"/>
        </w:numPr>
        <w:ind w:leftChars="0"/>
        <w:rPr>
          <w:bCs/>
          <w:sz w:val="20"/>
        </w:rPr>
      </w:pPr>
      <w:r>
        <w:rPr>
          <w:bCs/>
          <w:sz w:val="20"/>
        </w:rPr>
        <w:t>Interactions between background channel and target channel(s)</w:t>
      </w:r>
    </w:p>
    <w:p w:rsidR="00440CAD" w:rsidRDefault="00697913">
      <w:pPr>
        <w:pStyle w:val="ListParagraph"/>
        <w:numPr>
          <w:ilvl w:val="2"/>
          <w:numId w:val="8"/>
        </w:numPr>
        <w:ind w:leftChars="0"/>
        <w:rPr>
          <w:bCs/>
          <w:sz w:val="20"/>
        </w:rPr>
      </w:pPr>
      <w:r>
        <w:rPr>
          <w:bCs/>
          <w:sz w:val="20"/>
        </w:rPr>
        <w:t>Power normalization and other aspects</w:t>
      </w:r>
    </w:p>
    <w:p w:rsidR="00440CAD" w:rsidRDefault="00697913">
      <w:pPr>
        <w:pStyle w:val="ListParagraph"/>
        <w:numPr>
          <w:ilvl w:val="1"/>
          <w:numId w:val="8"/>
        </w:numPr>
        <w:ind w:leftChars="0"/>
        <w:rPr>
          <w:bCs/>
          <w:sz w:val="20"/>
        </w:rPr>
      </w:pPr>
      <w:r>
        <w:rPr>
          <w:bCs/>
          <w:sz w:val="20"/>
        </w:rPr>
        <w:t>Background channel in monostatic Tx/Rx geometry</w:t>
      </w:r>
    </w:p>
    <w:p w:rsidR="00440CAD" w:rsidRDefault="00697913">
      <w:pPr>
        <w:pStyle w:val="ListParagraph"/>
        <w:numPr>
          <w:ilvl w:val="0"/>
          <w:numId w:val="8"/>
        </w:numPr>
        <w:ind w:leftChars="0"/>
        <w:rPr>
          <w:bCs/>
          <w:sz w:val="20"/>
        </w:rPr>
      </w:pPr>
      <w:r>
        <w:rPr>
          <w:bCs/>
          <w:sz w:val="20"/>
        </w:rPr>
        <w:t>Spatial consistency</w:t>
      </w:r>
    </w:p>
    <w:p w:rsidR="00440CAD" w:rsidRDefault="00697913">
      <w:pPr>
        <w:pStyle w:val="Heading1"/>
        <w:rPr>
          <w:rFonts w:ascii="Times New Roman" w:hAnsi="Times New Roman" w:cs="Times New Roman"/>
        </w:rPr>
      </w:pPr>
      <w:r>
        <w:rPr>
          <w:rFonts w:ascii="Times New Roman" w:hAnsi="Times New Roman" w:cs="Times New Roman" w:hint="eastAsia"/>
        </w:rPr>
        <w:t>Discussion</w:t>
      </w:r>
    </w:p>
    <w:p w:rsidR="00440CAD" w:rsidRPr="009119AA" w:rsidRDefault="00697913" w:rsidP="009119AA">
      <w:pPr>
        <w:pStyle w:val="Heading2"/>
        <w:numPr>
          <w:ilvl w:val="1"/>
          <w:numId w:val="1"/>
        </w:numPr>
        <w:spacing w:before="120" w:after="120"/>
        <w:ind w:left="619" w:hanging="619"/>
        <w:rPr>
          <w:rFonts w:ascii="Times New Roman" w:hAnsi="Times New Roman" w:cs="Times New Roman"/>
        </w:rPr>
      </w:pPr>
      <w:r w:rsidRPr="009119AA">
        <w:rPr>
          <w:rFonts w:ascii="Times New Roman" w:hAnsi="Times New Roman" w:cs="Times New Roman"/>
        </w:rPr>
        <w:t xml:space="preserve">Physical object </w:t>
      </w:r>
      <w:r w:rsidR="009119AA" w:rsidRPr="009119AA">
        <w:rPr>
          <w:rFonts w:ascii="Times New Roman" w:hAnsi="Times New Roman" w:cs="Times New Roman"/>
        </w:rPr>
        <w:t>modeling</w:t>
      </w:r>
    </w:p>
    <w:p w:rsidR="00440CAD" w:rsidRDefault="00697913">
      <w:pPr>
        <w:rPr>
          <w:b/>
          <w:i/>
          <w:iCs/>
          <w:u w:val="single"/>
        </w:rPr>
      </w:pPr>
      <w:r>
        <w:rPr>
          <w:b/>
          <w:i/>
          <w:iCs/>
          <w:u w:val="single"/>
        </w:rPr>
        <w:t>Determination of RCS components A &amp; B</w:t>
      </w:r>
    </w:p>
    <w:p w:rsidR="00697913" w:rsidRDefault="00697913">
      <w:r>
        <w:t xml:space="preserve">RAN1 agreed that each target channel is modeled as a concatenation of a Tx-target link and a target-Rx link. From channel impulse response (CIR) point of view, the CIR of a target channel is the convolution of Tx-target CIR and target-Rx CIR if no complexity reduction is taken into account. To follow up this direction, each of Tx-target CIR and target-Rx CIR can be modeled in the same way as Tx-Rx link in existing TR38.901, i.e., including a large-scale fading part and a small-scale fading part. Consequently, if the cluster or ray power vectors of Tx-target link CIR and target-Rx link CIR are mathematically modeled as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CIR</m:t>
                </m:r>
              </m:e>
            </m:acc>
          </m:e>
          <m:sub>
            <m:r>
              <w:rPr>
                <w:rFonts w:ascii="Cambria Math" w:hAnsi="Cambria Math"/>
              </w:rPr>
              <m:t>Tx-target</m:t>
            </m:r>
          </m:sub>
        </m:sSub>
        <m:r>
          <w:rPr>
            <w:rFonts w:ascii="Cambria Math" w:hAnsi="Cambria Math"/>
          </w:rPr>
          <m:t>=</m:t>
        </m:r>
        <m:rad>
          <m:radPr>
            <m:degHide m:val="1"/>
            <m:ctrlPr>
              <w:rPr>
                <w:rFonts w:ascii="DejaVu Math TeX Gyre" w:hAnsi="DejaVu Math TeX Gyre"/>
                <w:i/>
              </w:rPr>
            </m:ctrlPr>
          </m:radPr>
          <m:deg/>
          <m:e>
            <m:sSub>
              <m:sSubPr>
                <m:ctrlPr>
                  <w:rPr>
                    <w:rFonts w:ascii="DejaVu Math TeX Gyre" w:hAnsi="DejaVu Math TeX Gyre"/>
                    <w:i/>
                  </w:rPr>
                </m:ctrlPr>
              </m:sSubPr>
              <m:e>
                <m:r>
                  <w:rPr>
                    <w:rFonts w:ascii="DejaVu Math TeX Gyre" w:hAnsi="DejaVu Math TeX Gyre"/>
                  </w:rPr>
                  <m:t>PL</m:t>
                </m:r>
              </m:e>
              <m:sub>
                <m:r>
                  <w:rPr>
                    <w:rFonts w:ascii="DejaVu Math TeX Gyre" w:hAnsi="DejaVu Math TeX Gyre"/>
                  </w:rPr>
                  <m:t>1</m:t>
                </m:r>
              </m:sub>
            </m:sSub>
          </m:e>
        </m:ra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rad>
                  <m:radPr>
                    <m:degHide m:val="1"/>
                    <m:ctrlPr>
                      <w:rPr>
                        <w:rFonts w:ascii="DejaVu Math TeX Gyre" w:hAnsi="DejaVu Math TeX Gyre"/>
                        <w:i/>
                      </w:rPr>
                    </m:ctrlPr>
                  </m:radPr>
                  <m:deg/>
                  <m:e>
                    <m:sSub>
                      <m:sSubPr>
                        <m:ctrlPr>
                          <w:rPr>
                            <w:rFonts w:ascii="DejaVu Math TeX Gyre" w:hAnsi="DejaVu Math TeX Gyre"/>
                            <w:i/>
                          </w:rPr>
                        </m:ctrlPr>
                      </m:sSubPr>
                      <m:e>
                        <m:r>
                          <w:rPr>
                            <w:rFonts w:ascii="DejaVu Math TeX Gyre" w:hAnsi="DejaVu Math TeX Gyre"/>
                          </w:rPr>
                          <m:t>p</m:t>
                        </m:r>
                      </m:e>
                      <m:sub>
                        <m:r>
                          <w:rPr>
                            <w:rFonts w:ascii="DejaVu Math TeX Gyre" w:hAnsi="DejaVu Math TeX Gyre"/>
                          </w:rPr>
                          <m:t>1,</m:t>
                        </m:r>
                        <m:r>
                          <w:rPr>
                            <w:rFonts w:ascii="Cambria Math" w:hAnsi="Cambria Math"/>
                          </w:rPr>
                          <m:t>1</m:t>
                        </m:r>
                      </m:sub>
                    </m:sSub>
                  </m:e>
                </m:rad>
                <m:r>
                  <w:rPr>
                    <w:rFonts w:ascii="Cambria Math" w:hAnsi="DejaVu Math TeX Gyre"/>
                  </w:rPr>
                  <m:t>,</m:t>
                </m:r>
                <m:r>
                  <w:rPr>
                    <w:rFonts w:ascii="Cambria Math" w:hAnsi="Cambria Math"/>
                  </w:rPr>
                  <m:t>⋯</m:t>
                </m:r>
                <m:r>
                  <w:rPr>
                    <w:rFonts w:ascii="Cambria Math" w:hAnsi="DejaVu Math TeX Gyre"/>
                  </w:rPr>
                  <m:t>,</m:t>
                </m:r>
                <m:rad>
                  <m:radPr>
                    <m:degHide m:val="1"/>
                    <m:ctrlPr>
                      <w:rPr>
                        <w:rFonts w:ascii="DejaVu Math TeX Gyre" w:hAnsi="DejaVu Math TeX Gyre"/>
                        <w:i/>
                      </w:rPr>
                    </m:ctrlPr>
                  </m:radPr>
                  <m:deg/>
                  <m:e>
                    <m:sSub>
                      <m:sSubPr>
                        <m:ctrlPr>
                          <w:rPr>
                            <w:rFonts w:ascii="DejaVu Math TeX Gyre" w:hAnsi="DejaVu Math TeX Gyre"/>
                            <w:i/>
                          </w:rPr>
                        </m:ctrlPr>
                      </m:sSubPr>
                      <m:e>
                        <m:r>
                          <w:rPr>
                            <w:rFonts w:ascii="DejaVu Math TeX Gyre" w:hAnsi="DejaVu Math TeX Gyre"/>
                          </w:rPr>
                          <m:t>p</m:t>
                        </m:r>
                      </m:e>
                      <m:sub>
                        <m:r>
                          <w:rPr>
                            <w:rFonts w:ascii="DejaVu Math TeX Gyre" w:hAnsi="DejaVu Math TeX Gyre"/>
                          </w:rPr>
                          <m:t>1,i</m:t>
                        </m:r>
                      </m:sub>
                    </m:sSub>
                    <m:r>
                      <w:rPr>
                        <w:rFonts w:ascii="Cambria Math" w:hAnsi="DejaVu Math TeX Gyre"/>
                      </w:rPr>
                      <m:t>,</m:t>
                    </m:r>
                  </m:e>
                </m:rad>
                <m:r>
                  <w:rPr>
                    <w:rFonts w:ascii="Cambria Math" w:hAnsi="Cambria Math"/>
                  </w:rPr>
                  <m:t>⋯</m:t>
                </m:r>
                <m:r>
                  <w:rPr>
                    <w:rFonts w:ascii="Cambria Math" w:hAnsi="DejaVu Math TeX Gyre"/>
                  </w:rPr>
                  <m:t>,</m:t>
                </m:r>
                <m:rad>
                  <m:radPr>
                    <m:degHide m:val="1"/>
                    <m:ctrlPr>
                      <w:rPr>
                        <w:rFonts w:ascii="DejaVu Math TeX Gyre" w:hAnsi="DejaVu Math TeX Gyre"/>
                        <w:i/>
                      </w:rPr>
                    </m:ctrlPr>
                  </m:radPr>
                  <m:deg/>
                  <m:e>
                    <m:sSub>
                      <m:sSubPr>
                        <m:ctrlPr>
                          <w:rPr>
                            <w:rFonts w:ascii="DejaVu Math TeX Gyre" w:hAnsi="DejaVu Math TeX Gyre"/>
                            <w:i/>
                          </w:rPr>
                        </m:ctrlPr>
                      </m:sSubPr>
                      <m:e>
                        <m:r>
                          <w:rPr>
                            <w:rFonts w:ascii="DejaVu Math TeX Gyre" w:hAnsi="DejaVu Math TeX Gyre"/>
                          </w:rPr>
                          <m:t>p</m:t>
                        </m:r>
                      </m:e>
                      <m:sub>
                        <m:r>
                          <w:rPr>
                            <w:rFonts w:ascii="DejaVu Math TeX Gyre" w:hAnsi="DejaVu Math TeX Gyre"/>
                          </w:rPr>
                          <m:t>1,</m:t>
                        </m:r>
                        <m:sSub>
                          <m:sSubPr>
                            <m:ctrlPr>
                              <w:rPr>
                                <w:rFonts w:ascii="Cambria Math" w:hAnsi="Cambria Math"/>
                                <w:i/>
                              </w:rPr>
                            </m:ctrlPr>
                          </m:sSubPr>
                          <m:e>
                            <m:r>
                              <w:rPr>
                                <w:rFonts w:ascii="Cambria Math" w:hAnsi="Cambria Math"/>
                              </w:rPr>
                              <m:t>N</m:t>
                            </m:r>
                          </m:e>
                          <m:sub>
                            <m:r>
                              <w:rPr>
                                <w:rFonts w:ascii="Cambria Math" w:hAnsi="Cambria Math"/>
                              </w:rPr>
                              <m:t>1</m:t>
                            </m:r>
                          </m:sub>
                        </m:sSub>
                      </m:sub>
                    </m:sSub>
                  </m:e>
                </m:rad>
              </m:e>
            </m:d>
          </m:e>
          <m:sup>
            <m:r>
              <w:rPr>
                <w:rFonts w:ascii="Cambria Math" w:hAnsi="Cambria Math"/>
              </w:rPr>
              <m:t>T</m:t>
            </m:r>
          </m:sup>
        </m:sSup>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CIR</m:t>
                </m:r>
              </m:e>
            </m:acc>
          </m:e>
          <m:sub>
            <m:r>
              <w:rPr>
                <w:rFonts w:ascii="Cambria Math" w:hAnsi="Cambria Math"/>
              </w:rPr>
              <m:t>target-Rx</m:t>
            </m:r>
          </m:sub>
        </m:sSub>
        <m:r>
          <w:rPr>
            <w:rFonts w:ascii="Cambria Math" w:hAnsi="Cambria Math"/>
          </w:rPr>
          <m:t>=</m:t>
        </m:r>
        <m:rad>
          <m:radPr>
            <m:degHide m:val="1"/>
            <m:ctrlPr>
              <w:rPr>
                <w:rFonts w:ascii="DejaVu Math TeX Gyre" w:hAnsi="DejaVu Math TeX Gyre"/>
                <w:i/>
              </w:rPr>
            </m:ctrlPr>
          </m:radPr>
          <m:deg/>
          <m:e>
            <m:sSub>
              <m:sSubPr>
                <m:ctrlPr>
                  <w:rPr>
                    <w:rFonts w:ascii="DejaVu Math TeX Gyre" w:hAnsi="DejaVu Math TeX Gyre"/>
                    <w:i/>
                  </w:rPr>
                </m:ctrlPr>
              </m:sSubPr>
              <m:e>
                <m:r>
                  <w:rPr>
                    <w:rFonts w:ascii="DejaVu Math TeX Gyre" w:hAnsi="DejaVu Math TeX Gyre"/>
                  </w:rPr>
                  <m:t>PL</m:t>
                </m:r>
              </m:e>
              <m:sub>
                <m:r>
                  <w:rPr>
                    <w:rFonts w:ascii="Cambria Math" w:hAnsi="Cambria Math"/>
                  </w:rPr>
                  <m:t>2</m:t>
                </m:r>
              </m:sub>
            </m:sSub>
          </m:e>
        </m:ra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rad>
                  <m:radPr>
                    <m:degHide m:val="1"/>
                    <m:ctrlPr>
                      <w:rPr>
                        <w:rFonts w:ascii="DejaVu Math TeX Gyre" w:hAnsi="DejaVu Math TeX Gyre"/>
                        <w:i/>
                      </w:rPr>
                    </m:ctrlPr>
                  </m:radPr>
                  <m:deg/>
                  <m:e>
                    <m:sSub>
                      <m:sSubPr>
                        <m:ctrlPr>
                          <w:rPr>
                            <w:rFonts w:ascii="DejaVu Math TeX Gyre" w:hAnsi="DejaVu Math TeX Gyre"/>
                            <w:i/>
                          </w:rPr>
                        </m:ctrlPr>
                      </m:sSubPr>
                      <m:e>
                        <m:r>
                          <w:rPr>
                            <w:rFonts w:ascii="DejaVu Math TeX Gyre" w:hAnsi="DejaVu Math TeX Gyre"/>
                          </w:rPr>
                          <m:t>p</m:t>
                        </m:r>
                      </m:e>
                      <m:sub>
                        <m:r>
                          <w:rPr>
                            <w:rFonts w:ascii="Cambria Math" w:hAnsi="Cambria Math"/>
                          </w:rPr>
                          <m:t>2</m:t>
                        </m:r>
                        <m:r>
                          <w:rPr>
                            <w:rFonts w:ascii="DejaVu Math TeX Gyre" w:hAnsi="DejaVu Math TeX Gyre"/>
                          </w:rPr>
                          <m:t>,</m:t>
                        </m:r>
                        <m:r>
                          <w:rPr>
                            <w:rFonts w:ascii="Cambria Math" w:hAnsi="Cambria Math"/>
                          </w:rPr>
                          <m:t>1</m:t>
                        </m:r>
                      </m:sub>
                    </m:sSub>
                  </m:e>
                </m:rad>
                <m:r>
                  <w:rPr>
                    <w:rFonts w:ascii="Cambria Math" w:hAnsi="DejaVu Math TeX Gyre"/>
                  </w:rPr>
                  <m:t>,</m:t>
                </m:r>
                <m:r>
                  <w:rPr>
                    <w:rFonts w:ascii="Cambria Math" w:hAnsi="Cambria Math"/>
                  </w:rPr>
                  <m:t>⋯</m:t>
                </m:r>
                <m:r>
                  <w:rPr>
                    <w:rFonts w:ascii="Cambria Math" w:hAnsi="DejaVu Math TeX Gyre"/>
                  </w:rPr>
                  <m:t>,</m:t>
                </m:r>
                <m:rad>
                  <m:radPr>
                    <m:degHide m:val="1"/>
                    <m:ctrlPr>
                      <w:rPr>
                        <w:rFonts w:ascii="DejaVu Math TeX Gyre" w:hAnsi="DejaVu Math TeX Gyre"/>
                        <w:i/>
                      </w:rPr>
                    </m:ctrlPr>
                  </m:radPr>
                  <m:deg/>
                  <m:e>
                    <m:sSub>
                      <m:sSubPr>
                        <m:ctrlPr>
                          <w:rPr>
                            <w:rFonts w:ascii="DejaVu Math TeX Gyre" w:hAnsi="DejaVu Math TeX Gyre"/>
                            <w:i/>
                          </w:rPr>
                        </m:ctrlPr>
                      </m:sSubPr>
                      <m:e>
                        <m:r>
                          <w:rPr>
                            <w:rFonts w:ascii="DejaVu Math TeX Gyre" w:hAnsi="DejaVu Math TeX Gyre"/>
                          </w:rPr>
                          <m:t>p</m:t>
                        </m:r>
                      </m:e>
                      <m:sub>
                        <m:r>
                          <w:rPr>
                            <w:rFonts w:ascii="Cambria Math" w:hAnsi="Cambria Math"/>
                          </w:rPr>
                          <m:t>2</m:t>
                        </m:r>
                        <m:r>
                          <w:rPr>
                            <w:rFonts w:ascii="DejaVu Math TeX Gyre" w:hAnsi="DejaVu Math TeX Gyre"/>
                          </w:rPr>
                          <m:t>,</m:t>
                        </m:r>
                        <m:r>
                          <w:rPr>
                            <w:rFonts w:ascii="Cambria Math" w:hAnsi="Cambria Math"/>
                          </w:rPr>
                          <m:t>j</m:t>
                        </m:r>
                      </m:sub>
                    </m:sSub>
                    <m:r>
                      <w:rPr>
                        <w:rFonts w:ascii="Cambria Math" w:hAnsi="DejaVu Math TeX Gyre"/>
                      </w:rPr>
                      <m:t>,</m:t>
                    </m:r>
                  </m:e>
                </m:rad>
                <m:r>
                  <w:rPr>
                    <w:rFonts w:ascii="Cambria Math" w:hAnsi="Cambria Math"/>
                  </w:rPr>
                  <m:t>⋯</m:t>
                </m:r>
                <m:r>
                  <w:rPr>
                    <w:rFonts w:ascii="Cambria Math" w:hAnsi="DejaVu Math TeX Gyre"/>
                  </w:rPr>
                  <m:t>,</m:t>
                </m:r>
                <m:rad>
                  <m:radPr>
                    <m:degHide m:val="1"/>
                    <m:ctrlPr>
                      <w:rPr>
                        <w:rFonts w:ascii="DejaVu Math TeX Gyre" w:hAnsi="DejaVu Math TeX Gyre"/>
                        <w:i/>
                      </w:rPr>
                    </m:ctrlPr>
                  </m:radPr>
                  <m:deg/>
                  <m:e>
                    <m:sSub>
                      <m:sSubPr>
                        <m:ctrlPr>
                          <w:rPr>
                            <w:rFonts w:ascii="DejaVu Math TeX Gyre" w:hAnsi="DejaVu Math TeX Gyre"/>
                            <w:i/>
                          </w:rPr>
                        </m:ctrlPr>
                      </m:sSubPr>
                      <m:e>
                        <m:r>
                          <w:rPr>
                            <w:rFonts w:ascii="DejaVu Math TeX Gyre" w:hAnsi="DejaVu Math TeX Gyre"/>
                          </w:rPr>
                          <m:t>p</m:t>
                        </m:r>
                      </m:e>
                      <m:sub>
                        <m:r>
                          <w:rPr>
                            <w:rFonts w:ascii="Cambria Math" w:hAnsi="Cambria Math"/>
                          </w:rPr>
                          <m:t>2</m:t>
                        </m:r>
                        <m:r>
                          <w:rPr>
                            <w:rFonts w:ascii="DejaVu Math TeX Gyre" w:hAnsi="DejaVu Math TeX Gyre"/>
                          </w:rPr>
                          <m:t>,</m:t>
                        </m:r>
                        <m:sSub>
                          <m:sSubPr>
                            <m:ctrlPr>
                              <w:rPr>
                                <w:rFonts w:ascii="Cambria Math" w:hAnsi="Cambria Math"/>
                                <w:i/>
                              </w:rPr>
                            </m:ctrlPr>
                          </m:sSubPr>
                          <m:e>
                            <m:r>
                              <w:rPr>
                                <w:rFonts w:ascii="Cambria Math" w:hAnsi="Cambria Math"/>
                              </w:rPr>
                              <m:t>N</m:t>
                            </m:r>
                          </m:e>
                          <m:sub>
                            <m:r>
                              <w:rPr>
                                <w:rFonts w:ascii="Cambria Math" w:hAnsi="Cambria Math"/>
                              </w:rPr>
                              <m:t>2</m:t>
                            </m:r>
                          </m:sub>
                        </m:sSub>
                      </m:sub>
                    </m:sSub>
                  </m:e>
                </m:rad>
              </m:e>
            </m:d>
          </m:e>
          <m:sup>
            <m:r>
              <w:rPr>
                <w:rFonts w:ascii="Cambria Math" w:hAnsi="Cambria Math"/>
              </w:rPr>
              <m:t>T</m:t>
            </m:r>
          </m:sup>
        </m:sSup>
      </m:oMath>
      <w:r>
        <w:t xml:space="preserve"> respectively, where</w:t>
      </w:r>
    </w:p>
    <w:p w:rsidR="00440CAD" w:rsidRDefault="00000000" w:rsidP="00697913">
      <w:pPr>
        <w:pStyle w:val="ListParagraph"/>
        <w:numPr>
          <w:ilvl w:val="0"/>
          <w:numId w:val="19"/>
        </w:numPr>
        <w:ind w:leftChars="0"/>
        <w:rPr>
          <w:sz w:val="20"/>
        </w:rPr>
      </w:pPr>
      <m:oMath>
        <m:sSub>
          <m:sSubPr>
            <m:ctrlPr>
              <w:rPr>
                <w:rFonts w:ascii="DejaVu Math TeX Gyre" w:hAnsi="DejaVu Math TeX Gyre"/>
                <w:i/>
                <w:sz w:val="20"/>
              </w:rPr>
            </m:ctrlPr>
          </m:sSubPr>
          <m:e>
            <m:r>
              <w:rPr>
                <w:rFonts w:ascii="DejaVu Math TeX Gyre" w:hAnsi="DejaVu Math TeX Gyre"/>
                <w:sz w:val="20"/>
              </w:rPr>
              <m:t>PL</m:t>
            </m:r>
          </m:e>
          <m:sub>
            <m:r>
              <w:rPr>
                <w:rFonts w:ascii="DejaVu Math TeX Gyre" w:hAnsi="DejaVu Math TeX Gyre"/>
                <w:sz w:val="20"/>
              </w:rPr>
              <m:t>1</m:t>
            </m:r>
          </m:sub>
        </m:sSub>
      </m:oMath>
      <w:r w:rsidR="00697913" w:rsidRPr="00697913">
        <w:rPr>
          <w:sz w:val="20"/>
        </w:rPr>
        <w:t xml:space="preserve"> and </w:t>
      </w:r>
      <m:oMath>
        <m:sSub>
          <m:sSubPr>
            <m:ctrlPr>
              <w:rPr>
                <w:rFonts w:ascii="DejaVu Math TeX Gyre" w:hAnsi="DejaVu Math TeX Gyre"/>
                <w:i/>
                <w:sz w:val="20"/>
              </w:rPr>
            </m:ctrlPr>
          </m:sSubPr>
          <m:e>
            <m:r>
              <w:rPr>
                <w:rFonts w:ascii="DejaVu Math TeX Gyre" w:hAnsi="DejaVu Math TeX Gyre"/>
                <w:sz w:val="20"/>
              </w:rPr>
              <m:t>PL</m:t>
            </m:r>
          </m:e>
          <m:sub>
            <m:r>
              <w:rPr>
                <w:rFonts w:ascii="Cambria Math" w:hAnsi="Cambria Math"/>
                <w:sz w:val="20"/>
              </w:rPr>
              <m:t>2</m:t>
            </m:r>
          </m:sub>
        </m:sSub>
      </m:oMath>
      <w:r w:rsidR="00697913" w:rsidRPr="00697913">
        <w:rPr>
          <w:sz w:val="20"/>
        </w:rPr>
        <w:t xml:space="preserve"> correspond to </w:t>
      </w:r>
      <w:r w:rsidR="00697913">
        <w:rPr>
          <w:sz w:val="20"/>
        </w:rPr>
        <w:t xml:space="preserve">large-scale power gain in Tx-target link and target-Rx link, respectively. </w:t>
      </w:r>
    </w:p>
    <w:p w:rsidR="00697913" w:rsidRDefault="00697913" w:rsidP="00697913">
      <w:pPr>
        <w:pStyle w:val="ListParagraph"/>
        <w:numPr>
          <w:ilvl w:val="0"/>
          <w:numId w:val="19"/>
        </w:numPr>
        <w:ind w:leftChars="0"/>
        <w:rPr>
          <w:sz w:val="20"/>
        </w:rPr>
      </w:pPr>
      <w:r w:rsidRPr="00697913">
        <w:rPr>
          <w:sz w:val="20"/>
        </w:rPr>
        <w:t>{</w:t>
      </w:r>
      <m:oMath>
        <m:sSub>
          <m:sSubPr>
            <m:ctrlPr>
              <w:rPr>
                <w:rFonts w:ascii="DejaVu Math TeX Gyre" w:hAnsi="DejaVu Math TeX Gyre"/>
                <w:i/>
                <w:sz w:val="20"/>
              </w:rPr>
            </m:ctrlPr>
          </m:sSubPr>
          <m:e>
            <m:r>
              <w:rPr>
                <w:rFonts w:ascii="DejaVu Math TeX Gyre" w:hAnsi="DejaVu Math TeX Gyre"/>
                <w:sz w:val="20"/>
              </w:rPr>
              <m:t>p</m:t>
            </m:r>
          </m:e>
          <m:sub>
            <m:r>
              <w:rPr>
                <w:rFonts w:ascii="DejaVu Math TeX Gyre" w:hAnsi="DejaVu Math TeX Gyre"/>
                <w:sz w:val="20"/>
              </w:rPr>
              <m:t>1,i</m:t>
            </m:r>
          </m:sub>
        </m:sSub>
      </m:oMath>
      <w:r w:rsidRPr="00697913">
        <w:rPr>
          <w:sz w:val="20"/>
        </w:rPr>
        <w:t xml:space="preserve">} are powers of  </w:t>
      </w:r>
      <m:oMath>
        <m:sSub>
          <m:sSubPr>
            <m:ctrlPr>
              <w:rPr>
                <w:rFonts w:ascii="Cambria Math" w:eastAsia="Times New Roman" w:hAnsi="Cambria Math"/>
                <w:i/>
                <w:sz w:val="20"/>
                <w:lang w:val="en-US" w:eastAsia="en-US"/>
              </w:rPr>
            </m:ctrlPr>
          </m:sSubPr>
          <m:e>
            <m:r>
              <w:rPr>
                <w:rFonts w:ascii="Cambria Math" w:hAnsi="Cambria Math"/>
                <w:sz w:val="20"/>
              </w:rPr>
              <m:t>N</m:t>
            </m:r>
          </m:e>
          <m:sub>
            <m:r>
              <w:rPr>
                <w:rFonts w:ascii="Cambria Math" w:hAnsi="Cambria Math"/>
                <w:sz w:val="20"/>
              </w:rPr>
              <m:t>1</m:t>
            </m:r>
          </m:sub>
        </m:sSub>
      </m:oMath>
      <w:r w:rsidRPr="00697913">
        <w:rPr>
          <w:sz w:val="20"/>
          <w:lang w:val="en-US" w:eastAsia="en-US"/>
        </w:rPr>
        <w:t xml:space="preserve"> </w:t>
      </w:r>
      <w:r w:rsidRPr="00697913">
        <w:rPr>
          <w:sz w:val="20"/>
        </w:rPr>
        <w:t>clusters or rays on Tx-target link, and {</w:t>
      </w:r>
      <m:oMath>
        <m:sSub>
          <m:sSubPr>
            <m:ctrlPr>
              <w:rPr>
                <w:rFonts w:ascii="DejaVu Math TeX Gyre" w:hAnsi="DejaVu Math TeX Gyre"/>
                <w:i/>
                <w:sz w:val="20"/>
              </w:rPr>
            </m:ctrlPr>
          </m:sSubPr>
          <m:e>
            <m:r>
              <w:rPr>
                <w:rFonts w:ascii="DejaVu Math TeX Gyre" w:hAnsi="DejaVu Math TeX Gyre"/>
                <w:sz w:val="20"/>
              </w:rPr>
              <m:t>p</m:t>
            </m:r>
          </m:e>
          <m:sub>
            <m:r>
              <w:rPr>
                <w:rFonts w:ascii="Cambria Math" w:hAnsi="Cambria Math"/>
                <w:sz w:val="20"/>
              </w:rPr>
              <m:t>2</m:t>
            </m:r>
            <m:r>
              <w:rPr>
                <w:rFonts w:ascii="DejaVu Math TeX Gyre" w:hAnsi="DejaVu Math TeX Gyre"/>
                <w:sz w:val="20"/>
              </w:rPr>
              <m:t>,</m:t>
            </m:r>
            <m:r>
              <w:rPr>
                <w:rFonts w:ascii="Cambria Math" w:hAnsi="Cambria Math"/>
                <w:sz w:val="20"/>
              </w:rPr>
              <m:t>j</m:t>
            </m:r>
          </m:sub>
        </m:sSub>
      </m:oMath>
      <w:r w:rsidRPr="00697913">
        <w:rPr>
          <w:sz w:val="20"/>
        </w:rPr>
        <w:t xml:space="preserve">} are powers of  </w:t>
      </w:r>
      <m:oMath>
        <m:sSub>
          <m:sSubPr>
            <m:ctrlPr>
              <w:rPr>
                <w:rFonts w:ascii="Cambria Math" w:eastAsia="Times New Roman" w:hAnsi="Cambria Math"/>
                <w:i/>
                <w:sz w:val="20"/>
                <w:lang w:val="en-US" w:eastAsia="en-US"/>
              </w:rPr>
            </m:ctrlPr>
          </m:sSubPr>
          <m:e>
            <m:r>
              <w:rPr>
                <w:rFonts w:ascii="Cambria Math" w:hAnsi="Cambria Math"/>
                <w:sz w:val="20"/>
              </w:rPr>
              <m:t>N</m:t>
            </m:r>
          </m:e>
          <m:sub>
            <m:r>
              <w:rPr>
                <w:rFonts w:ascii="Cambria Math" w:hAnsi="Cambria Math"/>
                <w:sz w:val="20"/>
              </w:rPr>
              <m:t>2</m:t>
            </m:r>
          </m:sub>
        </m:sSub>
      </m:oMath>
      <w:r w:rsidRPr="00697913">
        <w:rPr>
          <w:sz w:val="20"/>
          <w:lang w:val="en-US" w:eastAsia="en-US"/>
        </w:rPr>
        <w:t xml:space="preserve"> </w:t>
      </w:r>
      <w:r w:rsidRPr="00697913">
        <w:rPr>
          <w:sz w:val="20"/>
        </w:rPr>
        <w:t xml:space="preserve">clusters or rays on target-Rx link. </w:t>
      </w:r>
    </w:p>
    <w:p w:rsidR="002C72FE" w:rsidRDefault="00606599" w:rsidP="00606599">
      <w:r>
        <w:t>Then after concatenating Tx-target link, target object</w:t>
      </w:r>
      <w:r w:rsidR="002C72FE">
        <w:t xml:space="preserve"> (modeled as a RCS matrix)</w:t>
      </w:r>
      <w:r>
        <w:t xml:space="preserve"> itself and target-Rx link</w:t>
      </w:r>
      <w:r w:rsidR="002C72FE">
        <w:t xml:space="preserve"> where the element in RCS matrix on i-th row and j-th column corresponds to a RCS coefficient (likely angle-dependent) for </w:t>
      </w:r>
      <w:r w:rsidR="003130B5">
        <w:t>the</w:t>
      </w:r>
      <w:r w:rsidR="002C72FE">
        <w:t xml:space="preserve"> pair of </w:t>
      </w:r>
      <w:r w:rsidR="003130B5">
        <w:t xml:space="preserve">i-th </w:t>
      </w:r>
      <w:r w:rsidR="002C72FE">
        <w:t xml:space="preserve">incident cluster/ray on Tx-target link and </w:t>
      </w:r>
      <w:r w:rsidR="003130B5">
        <w:t xml:space="preserve">j-th </w:t>
      </w:r>
      <w:r w:rsidR="002C72FE">
        <w:t xml:space="preserve">scattering cluster/ray on target-Rx link(i.e., </w:t>
      </w:r>
      <m:oMath>
        <m:sSub>
          <m:sSubPr>
            <m:ctrlPr>
              <w:rPr>
                <w:rFonts w:ascii="Cambria Math" w:hAnsi="Cambria Math"/>
                <w:i/>
              </w:rPr>
            </m:ctrlPr>
          </m:sSubPr>
          <m:e>
            <m:r>
              <m:rPr>
                <m:sty m:val="b"/>
              </m:rPr>
              <w:rPr>
                <w:rFonts w:ascii="Cambria Math" w:hAnsi="Cambria Math"/>
              </w:rPr>
              <m:t>RCS</m:t>
            </m:r>
          </m:e>
          <m:sub>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ub>
        </m:sSub>
        <m:r>
          <w:rPr>
            <w:rFonts w:ascii="Cambria Math" w:hAnsi="Cambria Math"/>
          </w:rPr>
          <m:t>=</m:t>
        </m:r>
        <m:sSub>
          <m:sSubPr>
            <m:ctrlPr>
              <w:rPr>
                <w:rFonts w:ascii="Cambria Math" w:hAnsi="Cambria Math"/>
                <w:i/>
              </w:rPr>
            </m:ctrlPr>
          </m:sSubPr>
          <m:e>
            <m:d>
              <m:dPr>
                <m:ctrlPr>
                  <w:rPr>
                    <w:rFonts w:ascii="Cambria Math" w:hAnsi="Cambria Math"/>
                    <w:i/>
                  </w:rPr>
                </m:ctrlPr>
              </m:dPr>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RCS</m:t>
                        </m:r>
                      </m:e>
                      <m:sub>
                        <m:r>
                          <w:rPr>
                            <w:rFonts w:ascii="Cambria Math" w:hAnsi="Cambria Math"/>
                          </w:rPr>
                          <m:t>i,j</m:t>
                        </m:r>
                      </m:sub>
                    </m:sSub>
                  </m:e>
                </m:rad>
              </m:e>
            </m:d>
          </m:e>
          <m:sub>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ub>
        </m:sSub>
      </m:oMath>
      <w:r w:rsidR="002C72FE">
        <w:t>)</w:t>
      </w:r>
      <w:r>
        <w:t xml:space="preserve">, the </w:t>
      </w:r>
      <w:r w:rsidR="00D96EA7">
        <w:t>angle-domain power on each angle-pair are expressed in the</w:t>
      </w:r>
      <w:r>
        <w:t xml:space="preserve"> </w:t>
      </w:r>
      <w:r w:rsidR="00D96EA7">
        <w:t xml:space="preserve">overall </w:t>
      </w:r>
      <w:r>
        <w:t>target channel</w:t>
      </w:r>
      <w:r w:rsidR="00D96EA7">
        <w:t xml:space="preserve"> CIR as expressed as following:</w:t>
      </w:r>
      <w:r>
        <w:t xml:space="preserve"> </w:t>
      </w:r>
    </w:p>
    <w:p w:rsidR="00606599" w:rsidRPr="002C72FE" w:rsidRDefault="00000000" w:rsidP="00606599">
      <m:oMathPara>
        <m:oMath>
          <m:sSub>
            <m:sSubPr>
              <m:ctrlPr>
                <w:rPr>
                  <w:rFonts w:ascii="Cambria Math" w:hAnsi="Cambria Math"/>
                  <w:i/>
                </w:rPr>
              </m:ctrlPr>
            </m:sSubPr>
            <m:e>
              <m:r>
                <w:rPr>
                  <w:rFonts w:ascii="Cambria Math" w:hAnsi="Cambria Math"/>
                </w:rPr>
                <m:t>CIR</m:t>
              </m:r>
            </m:e>
            <m:sub>
              <m:r>
                <w:rPr>
                  <w:rFonts w:ascii="Cambria Math" w:hAnsi="Cambria Math"/>
                </w:rPr>
                <m:t>targetCH</m:t>
              </m:r>
            </m:sub>
          </m:sSub>
          <m:r>
            <w:rPr>
              <w:rFonts w:ascii="Cambria Math" w:hAnsi="Cambria Math"/>
            </w:rPr>
            <m:t>=</m:t>
          </m:r>
          <m:rad>
            <m:radPr>
              <m:degHide m:val="1"/>
              <m:ctrlPr>
                <w:rPr>
                  <w:rFonts w:ascii="Cambria Math" w:hAnsi="Cambria Math"/>
                  <w:i/>
                </w:rPr>
              </m:ctrlPr>
            </m:radPr>
            <m:deg/>
            <m:e>
              <m:f>
                <m:fPr>
                  <m:ctrlPr>
                    <w:rPr>
                      <w:rFonts w:ascii="Cambria Math" w:eastAsia="SimSun" w:hAnsi="Cambria Math"/>
                      <w:bCs/>
                      <w:i/>
                      <w:iCs/>
                      <w:lang w:eastAsia="zh-CN"/>
                    </w:rPr>
                  </m:ctrlPr>
                </m:fPr>
                <m:num>
                  <m:r>
                    <w:rPr>
                      <w:rFonts w:ascii="Cambria Math" w:eastAsia="SimSun"/>
                      <w:lang w:eastAsia="zh-CN"/>
                    </w:rPr>
                    <m:t>4</m:t>
                  </m:r>
                  <m:r>
                    <w:rPr>
                      <w:rFonts w:ascii="Cambria Math" w:eastAsia="SimSun" w:hAnsi="Cambria Math"/>
                      <w:lang w:eastAsia="zh-CN"/>
                    </w:rPr>
                    <m:t>π</m:t>
                  </m:r>
                </m:num>
                <m:den>
                  <m:sSup>
                    <m:sSupPr>
                      <m:ctrlPr>
                        <w:rPr>
                          <w:rFonts w:ascii="Cambria Math" w:eastAsia="SimSun" w:hAnsi="Cambria Math"/>
                          <w:bCs/>
                          <w:i/>
                          <w:iCs/>
                          <w:lang w:eastAsia="zh-CN"/>
                        </w:rPr>
                      </m:ctrlPr>
                    </m:sSupPr>
                    <m:e>
                      <m:r>
                        <w:rPr>
                          <w:rFonts w:ascii="Cambria Math" w:eastAsia="SimSun" w:hAnsi="Cambria Math"/>
                          <w:lang w:eastAsia="zh-CN"/>
                        </w:rPr>
                        <m:t>λ</m:t>
                      </m:r>
                    </m:e>
                    <m:sup>
                      <m:r>
                        <w:rPr>
                          <w:rFonts w:ascii="Cambria Math" w:eastAsia="SimSun"/>
                          <w:lang w:eastAsia="zh-CN"/>
                        </w:rPr>
                        <m:t>2</m:t>
                      </m:r>
                    </m:sup>
                  </m:sSup>
                </m:den>
              </m:f>
            </m:e>
          </m:rad>
          <m:sSup>
            <m:sSupPr>
              <m:ctrlPr>
                <w:rPr>
                  <w:rFonts w:ascii="Cambria Math" w:hAnsi="Cambria Math"/>
                  <w:i/>
                </w:rPr>
              </m:ctrlPr>
            </m:sSupPr>
            <m:e>
              <m:sSub>
                <m:sSubPr>
                  <m:ctrlPr>
                    <w:rPr>
                      <w:rFonts w:ascii="Cambria Math" w:hAnsi="Cambria Math"/>
                      <w:i/>
                    </w:rPr>
                  </m:ctrlPr>
                </m:sSubPr>
                <m:e>
                  <m:acc>
                    <m:accPr>
                      <m:chr m:val="⃑"/>
                      <m:ctrlPr>
                        <w:rPr>
                          <w:rFonts w:ascii="Cambria Math" w:hAnsi="Cambria Math"/>
                          <w:i/>
                        </w:rPr>
                      </m:ctrlPr>
                    </m:accPr>
                    <m:e>
                      <m:r>
                        <w:rPr>
                          <w:rFonts w:ascii="Cambria Math" w:hAnsi="Cambria Math"/>
                        </w:rPr>
                        <m:t>CIR</m:t>
                      </m:r>
                    </m:e>
                  </m:acc>
                </m:e>
                <m:sub>
                  <m:r>
                    <w:rPr>
                      <w:rFonts w:ascii="Cambria Math" w:hAnsi="Cambria Math"/>
                    </w:rPr>
                    <m:t>Tx-target</m:t>
                  </m:r>
                </m:sub>
              </m:sSub>
            </m:e>
            <m:sup>
              <m:r>
                <w:rPr>
                  <w:rFonts w:ascii="Cambria Math" w:hAnsi="Cambria Math"/>
                </w:rPr>
                <m:t>T</m:t>
              </m:r>
            </m:sup>
          </m:sSup>
          <m:r>
            <w:rPr>
              <w:rFonts w:ascii="Cambria Math" w:hAnsi="Cambria Math"/>
            </w:rPr>
            <m:t>∙</m:t>
          </m:r>
          <m:sSub>
            <m:sSubPr>
              <m:ctrlPr>
                <w:rPr>
                  <w:rFonts w:ascii="Cambria Math" w:hAnsi="Cambria Math"/>
                  <w:i/>
                </w:rPr>
              </m:ctrlPr>
            </m:sSubPr>
            <m:e>
              <m:r>
                <m:rPr>
                  <m:sty m:val="b"/>
                </m:rPr>
                <w:rPr>
                  <w:rFonts w:ascii="Cambria Math" w:hAnsi="Cambria Math"/>
                </w:rPr>
                <m:t>RCS</m:t>
              </m:r>
            </m:e>
            <m:sub>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CIR</m:t>
                  </m:r>
                </m:e>
              </m:acc>
            </m:e>
            <m:sub>
              <m:r>
                <w:rPr>
                  <w:rFonts w:ascii="Cambria Math" w:hAnsi="Cambria Math"/>
                </w:rPr>
                <m:t>target-Rx</m:t>
              </m:r>
            </m:sub>
          </m:sSub>
        </m:oMath>
      </m:oMathPara>
    </w:p>
    <w:p w:rsidR="002C72FE" w:rsidRPr="002C72FE" w:rsidRDefault="002C72FE" w:rsidP="00606599">
      <m:oMathPara>
        <m:oMath>
          <m:r>
            <w:rPr>
              <w:rFonts w:ascii="Cambria Math" w:hAnsi="Cambria Math"/>
            </w:rPr>
            <m:t>=</m:t>
          </m:r>
          <m:rad>
            <m:radPr>
              <m:degHide m:val="1"/>
              <m:ctrlPr>
                <w:rPr>
                  <w:rFonts w:ascii="Cambria Math" w:eastAsia="SimSun" w:hAnsi="Cambria Math"/>
                  <w:bCs/>
                  <w:i/>
                  <w:iCs/>
                  <w:lang w:eastAsia="zh-CN"/>
                </w:rPr>
              </m:ctrlPr>
            </m:radPr>
            <m:deg/>
            <m:e>
              <m:f>
                <m:fPr>
                  <m:ctrlPr>
                    <w:rPr>
                      <w:rFonts w:ascii="Cambria Math" w:eastAsia="SimSun" w:hAnsi="Cambria Math"/>
                      <w:bCs/>
                      <w:i/>
                      <w:iCs/>
                      <w:lang w:eastAsia="zh-CN"/>
                    </w:rPr>
                  </m:ctrlPr>
                </m:fPr>
                <m:num>
                  <m:r>
                    <w:rPr>
                      <w:rFonts w:ascii="Cambria Math" w:eastAsia="SimSun"/>
                      <w:lang w:eastAsia="zh-CN"/>
                    </w:rPr>
                    <m:t>4</m:t>
                  </m:r>
                  <m:r>
                    <w:rPr>
                      <w:rFonts w:ascii="Cambria Math" w:eastAsia="SimSun" w:hAnsi="Cambria Math"/>
                      <w:lang w:eastAsia="zh-CN"/>
                    </w:rPr>
                    <m:t>π</m:t>
                  </m:r>
                </m:num>
                <m:den>
                  <m:sSup>
                    <m:sSupPr>
                      <m:ctrlPr>
                        <w:rPr>
                          <w:rFonts w:ascii="Cambria Math" w:eastAsia="SimSun" w:hAnsi="Cambria Math"/>
                          <w:bCs/>
                          <w:i/>
                          <w:iCs/>
                          <w:lang w:eastAsia="zh-CN"/>
                        </w:rPr>
                      </m:ctrlPr>
                    </m:sSupPr>
                    <m:e>
                      <m:r>
                        <w:rPr>
                          <w:rFonts w:ascii="Cambria Math" w:eastAsia="SimSun" w:hAnsi="Cambria Math"/>
                          <w:lang w:eastAsia="zh-CN"/>
                        </w:rPr>
                        <m:t>λ</m:t>
                      </m:r>
                    </m:e>
                    <m:sup>
                      <m:r>
                        <w:rPr>
                          <w:rFonts w:ascii="Cambria Math" w:eastAsia="SimSun"/>
                          <w:lang w:eastAsia="zh-CN"/>
                        </w:rPr>
                        <m:t>2</m:t>
                      </m:r>
                    </m:sup>
                  </m:sSup>
                </m:den>
              </m:f>
            </m:e>
          </m:rad>
          <m:rad>
            <m:radPr>
              <m:degHide m:val="1"/>
              <m:ctrlPr>
                <w:rPr>
                  <w:rFonts w:ascii="DejaVu Math TeX Gyre" w:hAnsi="DejaVu Math TeX Gyre"/>
                </w:rPr>
              </m:ctrlPr>
            </m:radPr>
            <m:deg/>
            <m:e>
              <m:sSub>
                <m:sSubPr>
                  <m:ctrlPr>
                    <w:rPr>
                      <w:rFonts w:ascii="DejaVu Math TeX Gyre" w:hAnsi="DejaVu Math TeX Gyre"/>
                      <w:i/>
                    </w:rPr>
                  </m:ctrlPr>
                </m:sSubPr>
                <m:e>
                  <m:r>
                    <w:rPr>
                      <w:rFonts w:ascii="DejaVu Math TeX Gyre" w:hAnsi="DejaVu Math TeX Gyre"/>
                    </w:rPr>
                    <m:t>PL</m:t>
                  </m:r>
                </m:e>
                <m:sub>
                  <m:r>
                    <w:rPr>
                      <w:rFonts w:ascii="DejaVu Math TeX Gyre" w:hAnsi="DejaVu Math TeX Gyre"/>
                    </w:rPr>
                    <m:t>1</m:t>
                  </m:r>
                </m:sub>
              </m:sSub>
              <m:r>
                <w:rPr>
                  <w:rFonts w:ascii="DejaVu Math TeX Gyre" w:hAnsi="DejaVu Math TeX Gyre"/>
                </w:rPr>
                <m:t>∙</m:t>
              </m:r>
              <m:sSub>
                <m:sSubPr>
                  <m:ctrlPr>
                    <w:rPr>
                      <w:rFonts w:ascii="DejaVu Math TeX Gyre" w:hAnsi="DejaVu Math TeX Gyre"/>
                      <w:i/>
                    </w:rPr>
                  </m:ctrlPr>
                </m:sSubPr>
                <m:e>
                  <m:r>
                    <w:rPr>
                      <w:rFonts w:ascii="DejaVu Math TeX Gyre" w:hAnsi="DejaVu Math TeX Gyre"/>
                    </w:rPr>
                    <m:t>PL</m:t>
                  </m:r>
                </m:e>
                <m:sub>
                  <m:r>
                    <w:rPr>
                      <w:rFonts w:ascii="DejaVu Math TeX Gyre" w:hAnsi="DejaVu Math TeX Gyre"/>
                    </w:rPr>
                    <m:t>2</m:t>
                  </m:r>
                </m:sub>
              </m:sSub>
            </m:e>
          </m:rad>
          <m:r>
            <m:rPr>
              <m:sty m:val="p"/>
            </m:rPr>
            <w:rPr>
              <w:rFonts w:ascii="DejaVu Math TeX Gyre" w:hAnsi="DejaVu Math TeX Gyre"/>
            </w:rPr>
            <m:t>∙</m:t>
          </m:r>
          <m:nary>
            <m:naryPr>
              <m:chr m:val="∑"/>
              <m:limLoc m:val="undOvr"/>
              <m:supHide m:val="1"/>
              <m:ctrlPr>
                <w:rPr>
                  <w:rFonts w:ascii="DejaVu Math TeX Gyre" w:hAnsi="DejaVu Math TeX Gyre"/>
                </w:rPr>
              </m:ctrlPr>
            </m:naryPr>
            <m:sub>
              <m:r>
                <m:rPr>
                  <m:sty m:val="p"/>
                </m:rPr>
                <w:rPr>
                  <w:rFonts w:ascii="DejaVu Math TeX Gyre" w:hAnsi="DejaVu Math TeX Gyre"/>
                </w:rPr>
                <m:t>i</m:t>
              </m:r>
            </m:sub>
            <m:sup/>
            <m:e>
              <m:nary>
                <m:naryPr>
                  <m:chr m:val="∑"/>
                  <m:limLoc m:val="undOvr"/>
                  <m:supHide m:val="1"/>
                  <m:ctrlPr>
                    <w:rPr>
                      <w:rFonts w:ascii="DejaVu Math TeX Gyre" w:hAnsi="DejaVu Math TeX Gyre"/>
                    </w:rPr>
                  </m:ctrlPr>
                </m:naryPr>
                <m:sub>
                  <m:r>
                    <m:rPr>
                      <m:sty m:val="p"/>
                    </m:rPr>
                    <w:rPr>
                      <w:rFonts w:ascii="DejaVu Math TeX Gyre" w:hAnsi="DejaVu Math TeX Gyre"/>
                    </w:rPr>
                    <m:t>j</m:t>
                  </m:r>
                </m:sub>
                <m:sup/>
                <m:e>
                  <m:rad>
                    <m:radPr>
                      <m:degHide m:val="1"/>
                      <m:ctrlPr>
                        <w:rPr>
                          <w:rFonts w:ascii="DejaVu Math TeX Gyre" w:hAnsi="DejaVu Math TeX Gyre"/>
                          <w:i/>
                        </w:rPr>
                      </m:ctrlPr>
                    </m:radPr>
                    <m:deg/>
                    <m:e>
                      <m:sSub>
                        <m:sSubPr>
                          <m:ctrlPr>
                            <w:rPr>
                              <w:rFonts w:ascii="DejaVu Math TeX Gyre" w:hAnsi="DejaVu Math TeX Gyre"/>
                              <w:i/>
                            </w:rPr>
                          </m:ctrlPr>
                        </m:sSubPr>
                        <m:e>
                          <m:r>
                            <w:rPr>
                              <w:rFonts w:ascii="DejaVu Math TeX Gyre" w:hAnsi="DejaVu Math TeX Gyre"/>
                            </w:rPr>
                            <m:t>p</m:t>
                          </m:r>
                        </m:e>
                        <m:sub>
                          <m:r>
                            <w:rPr>
                              <w:rFonts w:ascii="DejaVu Math TeX Gyre" w:hAnsi="DejaVu Math TeX Gyre"/>
                            </w:rPr>
                            <m:t>1,i</m:t>
                          </m:r>
                        </m:sub>
                      </m:sSub>
                      <m:sSub>
                        <m:sSubPr>
                          <m:ctrlPr>
                            <w:rPr>
                              <w:rFonts w:ascii="DejaVu Math TeX Gyre" w:hAnsi="DejaVu Math TeX Gyre"/>
                              <w:i/>
                            </w:rPr>
                          </m:ctrlPr>
                        </m:sSubPr>
                        <m:e>
                          <m:r>
                            <w:rPr>
                              <w:rFonts w:ascii="DejaVu Math TeX Gyre" w:hAnsi="DejaVu Math TeX Gyre"/>
                            </w:rPr>
                            <m:t>RCS</m:t>
                          </m:r>
                        </m:e>
                        <m:sub>
                          <m:r>
                            <w:rPr>
                              <w:rFonts w:ascii="DejaVu Math TeX Gyre" w:hAnsi="DejaVu Math TeX Gyre"/>
                            </w:rPr>
                            <m:t>i,j</m:t>
                          </m:r>
                        </m:sub>
                      </m:sSub>
                      <m:sSub>
                        <m:sSubPr>
                          <m:ctrlPr>
                            <w:rPr>
                              <w:rFonts w:ascii="DejaVu Math TeX Gyre" w:hAnsi="DejaVu Math TeX Gyre"/>
                              <w:i/>
                            </w:rPr>
                          </m:ctrlPr>
                        </m:sSubPr>
                        <m:e>
                          <m:r>
                            <w:rPr>
                              <w:rFonts w:ascii="DejaVu Math TeX Gyre" w:hAnsi="DejaVu Math TeX Gyre"/>
                            </w:rPr>
                            <m:t>p</m:t>
                          </m:r>
                        </m:e>
                        <m:sub>
                          <m:r>
                            <w:rPr>
                              <w:rFonts w:ascii="DejaVu Math TeX Gyre" w:hAnsi="DejaVu Math TeX Gyre"/>
                            </w:rPr>
                            <m:t>2,j</m:t>
                          </m:r>
                        </m:sub>
                      </m:sSub>
                    </m:e>
                  </m:rad>
                </m:e>
              </m:nary>
            </m:e>
          </m:nary>
        </m:oMath>
      </m:oMathPara>
    </w:p>
    <w:p w:rsidR="004F1D5F" w:rsidRDefault="00D96EA7">
      <w:r>
        <w:rPr>
          <w:szCs w:val="20"/>
        </w:rPr>
        <w:t>where each angle-pair power is given as</w:t>
      </w:r>
      <w:r w:rsidR="00A5687A">
        <w:rPr>
          <w:szCs w:val="20"/>
        </w:rPr>
        <w:t xml:space="preserve"> </w:t>
      </w:r>
      <m:oMath>
        <m:f>
          <m:fPr>
            <m:ctrlPr>
              <w:rPr>
                <w:rFonts w:ascii="Cambria Math" w:eastAsia="SimSun" w:hAnsi="Cambria Math"/>
                <w:bCs/>
                <w:i/>
                <w:iCs/>
                <w:lang w:eastAsia="zh-CN"/>
              </w:rPr>
            </m:ctrlPr>
          </m:fPr>
          <m:num>
            <m:r>
              <w:rPr>
                <w:rFonts w:ascii="Cambria Math" w:eastAsia="SimSun"/>
                <w:lang w:eastAsia="zh-CN"/>
              </w:rPr>
              <m:t>4</m:t>
            </m:r>
            <m:r>
              <w:rPr>
                <w:rFonts w:ascii="Cambria Math" w:eastAsia="SimSun" w:hAnsi="Cambria Math"/>
                <w:lang w:eastAsia="zh-CN"/>
              </w:rPr>
              <m:t>π</m:t>
            </m:r>
          </m:num>
          <m:den>
            <m:sSup>
              <m:sSupPr>
                <m:ctrlPr>
                  <w:rPr>
                    <w:rFonts w:ascii="Cambria Math" w:eastAsia="SimSun" w:hAnsi="Cambria Math"/>
                    <w:bCs/>
                    <w:i/>
                    <w:iCs/>
                    <w:lang w:eastAsia="zh-CN"/>
                  </w:rPr>
                </m:ctrlPr>
              </m:sSupPr>
              <m:e>
                <m:r>
                  <w:rPr>
                    <w:rFonts w:ascii="Cambria Math" w:eastAsia="SimSun" w:hAnsi="Cambria Math"/>
                    <w:lang w:eastAsia="zh-CN"/>
                  </w:rPr>
                  <m:t>λ</m:t>
                </m:r>
              </m:e>
              <m:sup>
                <m:r>
                  <w:rPr>
                    <w:rFonts w:ascii="Cambria Math" w:eastAsia="SimSun"/>
                    <w:lang w:eastAsia="zh-CN"/>
                  </w:rPr>
                  <m:t>2</m:t>
                </m:r>
              </m:sup>
            </m:sSup>
          </m:den>
        </m:f>
        <m:sSub>
          <m:sSubPr>
            <m:ctrlPr>
              <w:rPr>
                <w:rFonts w:ascii="DejaVu Math TeX Gyre" w:hAnsi="DejaVu Math TeX Gyre"/>
                <w:i/>
              </w:rPr>
            </m:ctrlPr>
          </m:sSubPr>
          <m:e>
            <m:r>
              <w:rPr>
                <w:rFonts w:ascii="DejaVu Math TeX Gyre" w:hAnsi="DejaVu Math TeX Gyre"/>
              </w:rPr>
              <m:t>PL</m:t>
            </m:r>
          </m:e>
          <m:sub>
            <m:r>
              <w:rPr>
                <w:rFonts w:ascii="DejaVu Math TeX Gyre" w:hAnsi="DejaVu Math TeX Gyre"/>
              </w:rPr>
              <m:t>1</m:t>
            </m:r>
          </m:sub>
        </m:sSub>
        <m:r>
          <w:rPr>
            <w:rFonts w:ascii="DejaVu Math TeX Gyre" w:hAnsi="DejaVu Math TeX Gyre"/>
          </w:rPr>
          <m:t>∙</m:t>
        </m:r>
        <m:sSub>
          <m:sSubPr>
            <m:ctrlPr>
              <w:rPr>
                <w:rFonts w:ascii="DejaVu Math TeX Gyre" w:hAnsi="DejaVu Math TeX Gyre"/>
                <w:i/>
              </w:rPr>
            </m:ctrlPr>
          </m:sSubPr>
          <m:e>
            <m:r>
              <w:rPr>
                <w:rFonts w:ascii="DejaVu Math TeX Gyre" w:hAnsi="DejaVu Math TeX Gyre"/>
              </w:rPr>
              <m:t>PL</m:t>
            </m:r>
          </m:e>
          <m:sub>
            <m:r>
              <w:rPr>
                <w:rFonts w:ascii="DejaVu Math TeX Gyre" w:hAnsi="DejaVu Math TeX Gyre"/>
              </w:rPr>
              <m:t>2</m:t>
            </m:r>
          </m:sub>
        </m:sSub>
        <m:r>
          <w:rPr>
            <w:rFonts w:ascii="Cambria Math" w:hAnsi="Cambria Math"/>
          </w:rPr>
          <m:t>∙</m:t>
        </m:r>
        <m:sSub>
          <m:sSubPr>
            <m:ctrlPr>
              <w:rPr>
                <w:rFonts w:ascii="DejaVu Math TeX Gyre" w:hAnsi="DejaVu Math TeX Gyre"/>
                <w:i/>
              </w:rPr>
            </m:ctrlPr>
          </m:sSubPr>
          <m:e>
            <m:r>
              <w:rPr>
                <w:rFonts w:ascii="DejaVu Math TeX Gyre" w:hAnsi="DejaVu Math TeX Gyre"/>
              </w:rPr>
              <m:t>p</m:t>
            </m:r>
          </m:e>
          <m:sub>
            <m:r>
              <w:rPr>
                <w:rFonts w:ascii="DejaVu Math TeX Gyre" w:hAnsi="DejaVu Math TeX Gyre"/>
              </w:rPr>
              <m:t>1,i</m:t>
            </m:r>
          </m:sub>
        </m:sSub>
        <m:sSub>
          <m:sSubPr>
            <m:ctrlPr>
              <w:rPr>
                <w:rFonts w:ascii="DejaVu Math TeX Gyre" w:hAnsi="DejaVu Math TeX Gyre"/>
                <w:i/>
              </w:rPr>
            </m:ctrlPr>
          </m:sSubPr>
          <m:e>
            <m:r>
              <w:rPr>
                <w:rFonts w:ascii="DejaVu Math TeX Gyre" w:hAnsi="DejaVu Math TeX Gyre"/>
              </w:rPr>
              <m:t>RCS</m:t>
            </m:r>
          </m:e>
          <m:sub>
            <m:r>
              <w:rPr>
                <w:rFonts w:ascii="DejaVu Math TeX Gyre" w:hAnsi="DejaVu Math TeX Gyre"/>
              </w:rPr>
              <m:t>i,j</m:t>
            </m:r>
          </m:sub>
        </m:sSub>
        <m:sSub>
          <m:sSubPr>
            <m:ctrlPr>
              <w:rPr>
                <w:rFonts w:ascii="DejaVu Math TeX Gyre" w:hAnsi="DejaVu Math TeX Gyre"/>
                <w:i/>
              </w:rPr>
            </m:ctrlPr>
          </m:sSubPr>
          <m:e>
            <m:r>
              <w:rPr>
                <w:rFonts w:ascii="DejaVu Math TeX Gyre" w:hAnsi="DejaVu Math TeX Gyre"/>
              </w:rPr>
              <m:t>p</m:t>
            </m:r>
          </m:e>
          <m:sub>
            <m:r>
              <w:rPr>
                <w:rFonts w:ascii="DejaVu Math TeX Gyre" w:hAnsi="DejaVu Math TeX Gyre"/>
              </w:rPr>
              <m:t>2,j</m:t>
            </m:r>
          </m:sub>
        </m:sSub>
      </m:oMath>
      <w:r w:rsidR="008C6AE9">
        <w:t xml:space="preserve">. Then the total instant power in the target channel for Tx-target-Rx link is give by </w:t>
      </w:r>
      <m:oMath>
        <m:f>
          <m:fPr>
            <m:ctrlPr>
              <w:rPr>
                <w:rFonts w:ascii="Cambria Math" w:eastAsia="SimSun" w:hAnsi="Cambria Math"/>
                <w:bCs/>
                <w:i/>
                <w:iCs/>
                <w:lang w:eastAsia="zh-CN"/>
              </w:rPr>
            </m:ctrlPr>
          </m:fPr>
          <m:num>
            <m:r>
              <w:rPr>
                <w:rFonts w:ascii="Cambria Math" w:eastAsia="SimSun"/>
                <w:lang w:eastAsia="zh-CN"/>
              </w:rPr>
              <m:t>4</m:t>
            </m:r>
            <m:r>
              <w:rPr>
                <w:rFonts w:ascii="Cambria Math" w:eastAsia="SimSun" w:hAnsi="Cambria Math"/>
                <w:lang w:eastAsia="zh-CN"/>
              </w:rPr>
              <m:t>π</m:t>
            </m:r>
          </m:num>
          <m:den>
            <m:sSup>
              <m:sSupPr>
                <m:ctrlPr>
                  <w:rPr>
                    <w:rFonts w:ascii="Cambria Math" w:eastAsia="SimSun" w:hAnsi="Cambria Math"/>
                    <w:bCs/>
                    <w:i/>
                    <w:iCs/>
                    <w:lang w:eastAsia="zh-CN"/>
                  </w:rPr>
                </m:ctrlPr>
              </m:sSupPr>
              <m:e>
                <m:r>
                  <w:rPr>
                    <w:rFonts w:ascii="Cambria Math" w:eastAsia="SimSun" w:hAnsi="Cambria Math"/>
                    <w:lang w:eastAsia="zh-CN"/>
                  </w:rPr>
                  <m:t>λ</m:t>
                </m:r>
              </m:e>
              <m:sup>
                <m:r>
                  <w:rPr>
                    <w:rFonts w:ascii="Cambria Math" w:eastAsia="SimSun"/>
                    <w:lang w:eastAsia="zh-CN"/>
                  </w:rPr>
                  <m:t>2</m:t>
                </m:r>
              </m:sup>
            </m:sSup>
          </m:den>
        </m:f>
        <m:sSub>
          <m:sSubPr>
            <m:ctrlPr>
              <w:rPr>
                <w:rFonts w:ascii="DejaVu Math TeX Gyre" w:hAnsi="DejaVu Math TeX Gyre"/>
                <w:i/>
              </w:rPr>
            </m:ctrlPr>
          </m:sSubPr>
          <m:e>
            <m:r>
              <w:rPr>
                <w:rFonts w:ascii="DejaVu Math TeX Gyre" w:hAnsi="DejaVu Math TeX Gyre"/>
              </w:rPr>
              <m:t>PL</m:t>
            </m:r>
          </m:e>
          <m:sub>
            <m:r>
              <w:rPr>
                <w:rFonts w:ascii="DejaVu Math TeX Gyre" w:hAnsi="DejaVu Math TeX Gyre"/>
              </w:rPr>
              <m:t>1</m:t>
            </m:r>
          </m:sub>
        </m:sSub>
        <m:r>
          <w:rPr>
            <w:rFonts w:ascii="DejaVu Math TeX Gyre" w:hAnsi="DejaVu Math TeX Gyre"/>
          </w:rPr>
          <m:t>∙</m:t>
        </m:r>
        <m:sSub>
          <m:sSubPr>
            <m:ctrlPr>
              <w:rPr>
                <w:rFonts w:ascii="DejaVu Math TeX Gyre" w:hAnsi="DejaVu Math TeX Gyre"/>
                <w:i/>
              </w:rPr>
            </m:ctrlPr>
          </m:sSubPr>
          <m:e>
            <m:r>
              <w:rPr>
                <w:rFonts w:ascii="DejaVu Math TeX Gyre" w:hAnsi="DejaVu Math TeX Gyre"/>
              </w:rPr>
              <m:t>PL</m:t>
            </m:r>
          </m:e>
          <m:sub>
            <m:r>
              <w:rPr>
                <w:rFonts w:ascii="DejaVu Math TeX Gyre" w:hAnsi="DejaVu Math TeX Gyre"/>
              </w:rPr>
              <m:t>2</m:t>
            </m:r>
          </m:sub>
        </m:sSub>
        <m:r>
          <w:rPr>
            <w:rFonts w:ascii="Cambria Math" w:hAnsi="Cambria Math"/>
          </w:rPr>
          <m:t>∙</m:t>
        </m:r>
        <m:nary>
          <m:naryPr>
            <m:chr m:val="∑"/>
            <m:limLoc m:val="undOvr"/>
            <m:supHide m:val="1"/>
            <m:ctrlPr>
              <w:rPr>
                <w:rFonts w:ascii="DejaVu Math TeX Gyre" w:hAnsi="DejaVu Math TeX Gyre"/>
              </w:rPr>
            </m:ctrlPr>
          </m:naryPr>
          <m:sub>
            <m:r>
              <m:rPr>
                <m:sty m:val="p"/>
              </m:rPr>
              <w:rPr>
                <w:rFonts w:ascii="DejaVu Math TeX Gyre" w:hAnsi="DejaVu Math TeX Gyre"/>
              </w:rPr>
              <m:t>i</m:t>
            </m:r>
          </m:sub>
          <m:sup/>
          <m:e>
            <m:nary>
              <m:naryPr>
                <m:chr m:val="∑"/>
                <m:limLoc m:val="undOvr"/>
                <m:supHide m:val="1"/>
                <m:ctrlPr>
                  <w:rPr>
                    <w:rFonts w:ascii="DejaVu Math TeX Gyre" w:hAnsi="DejaVu Math TeX Gyre"/>
                  </w:rPr>
                </m:ctrlPr>
              </m:naryPr>
              <m:sub>
                <m:r>
                  <m:rPr>
                    <m:sty m:val="p"/>
                  </m:rPr>
                  <w:rPr>
                    <w:rFonts w:ascii="DejaVu Math TeX Gyre" w:hAnsi="DejaVu Math TeX Gyre"/>
                  </w:rPr>
                  <m:t>j</m:t>
                </m:r>
              </m:sub>
              <m:sup/>
              <m:e>
                <m:sSub>
                  <m:sSubPr>
                    <m:ctrlPr>
                      <w:rPr>
                        <w:rFonts w:ascii="DejaVu Math TeX Gyre" w:hAnsi="DejaVu Math TeX Gyre"/>
                        <w:i/>
                      </w:rPr>
                    </m:ctrlPr>
                  </m:sSubPr>
                  <m:e>
                    <m:r>
                      <w:rPr>
                        <w:rFonts w:ascii="DejaVu Math TeX Gyre" w:hAnsi="DejaVu Math TeX Gyre"/>
                      </w:rPr>
                      <m:t>p</m:t>
                    </m:r>
                  </m:e>
                  <m:sub>
                    <m:r>
                      <w:rPr>
                        <w:rFonts w:ascii="DejaVu Math TeX Gyre" w:hAnsi="DejaVu Math TeX Gyre"/>
                      </w:rPr>
                      <m:t>1,i</m:t>
                    </m:r>
                  </m:sub>
                </m:sSub>
                <m:sSub>
                  <m:sSubPr>
                    <m:ctrlPr>
                      <w:rPr>
                        <w:rFonts w:ascii="DejaVu Math TeX Gyre" w:hAnsi="DejaVu Math TeX Gyre"/>
                        <w:i/>
                      </w:rPr>
                    </m:ctrlPr>
                  </m:sSubPr>
                  <m:e>
                    <m:r>
                      <w:rPr>
                        <w:rFonts w:ascii="DejaVu Math TeX Gyre" w:hAnsi="DejaVu Math TeX Gyre"/>
                      </w:rPr>
                      <m:t>RCS</m:t>
                    </m:r>
                  </m:e>
                  <m:sub>
                    <m:r>
                      <w:rPr>
                        <w:rFonts w:ascii="DejaVu Math TeX Gyre" w:hAnsi="DejaVu Math TeX Gyre"/>
                      </w:rPr>
                      <m:t>i,j</m:t>
                    </m:r>
                  </m:sub>
                </m:sSub>
                <m:sSub>
                  <m:sSubPr>
                    <m:ctrlPr>
                      <w:rPr>
                        <w:rFonts w:ascii="DejaVu Math TeX Gyre" w:hAnsi="DejaVu Math TeX Gyre"/>
                        <w:i/>
                      </w:rPr>
                    </m:ctrlPr>
                  </m:sSubPr>
                  <m:e>
                    <m:r>
                      <w:rPr>
                        <w:rFonts w:ascii="DejaVu Math TeX Gyre" w:hAnsi="DejaVu Math TeX Gyre"/>
                      </w:rPr>
                      <m:t>p</m:t>
                    </m:r>
                  </m:e>
                  <m:sub>
                    <m:r>
                      <w:rPr>
                        <w:rFonts w:ascii="DejaVu Math TeX Gyre" w:hAnsi="DejaVu Math TeX Gyre"/>
                      </w:rPr>
                      <m:t>2,j</m:t>
                    </m:r>
                  </m:sub>
                </m:sSub>
              </m:e>
            </m:nary>
          </m:e>
        </m:nary>
      </m:oMath>
      <w:r w:rsidR="008C6AE9">
        <w:t xml:space="preserve">. Meanwhile, RAN1 agrees as a working assumption that the target channel has both a large-scale fading part that holds RCS component A and a small-scale fading part that holds RCS component B which should be </w:t>
      </w:r>
      <m:oMath>
        <m:sSub>
          <m:sSubPr>
            <m:ctrlPr>
              <w:rPr>
                <w:rFonts w:ascii="Cambria Math" w:hAnsi="Cambria Math"/>
                <w:i/>
              </w:rPr>
            </m:ctrlPr>
          </m:sSubPr>
          <m:e>
            <m:r>
              <w:rPr>
                <w:rFonts w:ascii="Cambria Math" w:hAnsi="Cambria Math"/>
              </w:rPr>
              <m:t>B</m:t>
            </m:r>
          </m:e>
          <m:sub>
            <m:r>
              <w:rPr>
                <w:rFonts w:ascii="Cambria Math" w:hAnsi="Cambria Math"/>
              </w:rPr>
              <m:t>i,j</m:t>
            </m:r>
          </m:sub>
        </m:sSub>
      </m:oMath>
      <w:r w:rsidR="008C6AE9">
        <w:t xml:space="preserve"> for each incident/scatt</w:t>
      </w:r>
      <w:r w:rsidR="004F1D5F">
        <w:t>ering pair in our understanding.</w:t>
      </w:r>
      <w:r w:rsidR="008C6AE9">
        <w:t xml:space="preserve"> </w:t>
      </w:r>
    </w:p>
    <w:p w:rsidR="00B83ECF" w:rsidRPr="004F1D5F" w:rsidRDefault="004F1D5F" w:rsidP="004F1D5F">
      <w:pPr>
        <w:pStyle w:val="ListParagraph"/>
        <w:numPr>
          <w:ilvl w:val="0"/>
          <w:numId w:val="20"/>
        </w:numPr>
        <w:ind w:leftChars="0"/>
        <w:rPr>
          <w:bCs/>
          <w:iCs/>
          <w:sz w:val="20"/>
          <w:lang w:eastAsia="zh-CN"/>
        </w:rPr>
      </w:pPr>
      <w:r>
        <w:rPr>
          <w:sz w:val="20"/>
          <w:lang w:val="en-US"/>
        </w:rPr>
        <w:t>For</w:t>
      </w:r>
      <w:r w:rsidR="008C6AE9" w:rsidRPr="004F1D5F">
        <w:rPr>
          <w:sz w:val="20"/>
        </w:rPr>
        <w:t xml:space="preserve"> the large-scale fading</w:t>
      </w:r>
      <w:r>
        <w:rPr>
          <w:sz w:val="20"/>
        </w:rPr>
        <w:t xml:space="preserve"> in target channel, it is very likely compatible to a</w:t>
      </w:r>
      <w:r w:rsidR="008C6AE9" w:rsidRPr="004F1D5F">
        <w:rPr>
          <w:sz w:val="20"/>
        </w:rPr>
        <w:t xml:space="preserve"> loss dB</w:t>
      </w:r>
      <w:r w:rsidR="00B83ECF" w:rsidRPr="004F1D5F">
        <w:rPr>
          <w:sz w:val="20"/>
        </w:rPr>
        <w:t xml:space="preserve"> format</w:t>
      </w:r>
      <w:r w:rsidR="008C6AE9" w:rsidRPr="004F1D5F">
        <w:rPr>
          <w:sz w:val="20"/>
        </w:rPr>
        <w:t xml:space="preserve"> as</w:t>
      </w:r>
      <w:r w:rsidR="008C6AE9" w:rsidRPr="004F1D5F">
        <w:rPr>
          <w:i/>
          <w:sz w:val="20"/>
        </w:rPr>
        <w:t xml:space="preserve"> </w:t>
      </w:r>
      <m:oMath>
        <m:sSub>
          <m:sSubPr>
            <m:ctrlPr>
              <w:rPr>
                <w:rFonts w:ascii="Cambria Math" w:eastAsia="SimSun" w:hAnsi="Cambria Math"/>
                <w:bCs/>
                <w:i/>
                <w:iCs/>
                <w:sz w:val="20"/>
                <w:lang w:eastAsia="zh-CN"/>
              </w:rPr>
            </m:ctrlPr>
          </m:sSubPr>
          <m:e>
            <m:r>
              <w:rPr>
                <w:rFonts w:ascii="Cambria Math" w:eastAsia="SimSun" w:hAnsi="Cambria Math"/>
                <w:sz w:val="20"/>
                <w:lang w:eastAsia="zh-CN"/>
              </w:rPr>
              <m:t>PL</m:t>
            </m:r>
          </m:e>
          <m:sub>
            <m:r>
              <w:rPr>
                <w:rFonts w:ascii="Cambria Math" w:eastAsia="SimSun" w:hAnsi="Cambria Math"/>
                <w:sz w:val="20"/>
                <w:lang w:eastAsia="zh-CN"/>
              </w:rPr>
              <m:t>s</m:t>
            </m:r>
          </m:sub>
        </m:sSub>
        <m:d>
          <m:dPr>
            <m:ctrlPr>
              <w:rPr>
                <w:rFonts w:ascii="Cambria Math" w:eastAsia="SimSun" w:hAnsi="Cambria Math"/>
                <w:bCs/>
                <w:i/>
                <w:iCs/>
                <w:sz w:val="20"/>
                <w:lang w:eastAsia="zh-CN"/>
              </w:rPr>
            </m:ctrlPr>
          </m:dPr>
          <m:e>
            <m:sSub>
              <m:sSubPr>
                <m:ctrlPr>
                  <w:rPr>
                    <w:rFonts w:ascii="Cambria Math" w:eastAsia="SimSun" w:hAnsi="Cambria Math"/>
                    <w:bCs/>
                    <w:i/>
                    <w:iCs/>
                    <w:sz w:val="20"/>
                    <w:lang w:eastAsia="zh-CN"/>
                  </w:rPr>
                </m:ctrlPr>
              </m:sSubPr>
              <m:e>
                <m:r>
                  <w:rPr>
                    <w:rFonts w:ascii="Cambria Math" w:eastAsia="SimSun" w:hAnsi="Cambria Math"/>
                    <w:sz w:val="20"/>
                    <w:lang w:eastAsia="zh-CN"/>
                  </w:rPr>
                  <m:t>d</m:t>
                </m:r>
              </m:e>
              <m:sub>
                <m:r>
                  <w:rPr>
                    <w:rFonts w:ascii="Cambria Math" w:eastAsia="SimSun"/>
                    <w:sz w:val="20"/>
                    <w:lang w:eastAsia="zh-CN"/>
                  </w:rPr>
                  <m:t>1</m:t>
                </m:r>
              </m:sub>
            </m:sSub>
            <m:r>
              <w:rPr>
                <w:rFonts w:ascii="Cambria Math" w:eastAsia="SimSun"/>
                <w:sz w:val="20"/>
                <w:lang w:eastAsia="zh-CN"/>
              </w:rPr>
              <m:t>,</m:t>
            </m:r>
            <m:sSub>
              <m:sSubPr>
                <m:ctrlPr>
                  <w:rPr>
                    <w:rFonts w:ascii="Cambria Math" w:eastAsia="SimSun" w:hAnsi="Cambria Math"/>
                    <w:bCs/>
                    <w:i/>
                    <w:iCs/>
                    <w:sz w:val="20"/>
                    <w:lang w:eastAsia="zh-CN"/>
                  </w:rPr>
                </m:ctrlPr>
              </m:sSubPr>
              <m:e>
                <m:r>
                  <w:rPr>
                    <w:rFonts w:ascii="Cambria Math" w:eastAsia="SimSun" w:hAnsi="Cambria Math"/>
                    <w:sz w:val="20"/>
                    <w:lang w:eastAsia="zh-CN"/>
                  </w:rPr>
                  <m:t>d</m:t>
                </m:r>
              </m:e>
              <m:sub>
                <m:r>
                  <w:rPr>
                    <w:rFonts w:ascii="Cambria Math" w:eastAsia="SimSun"/>
                    <w:sz w:val="20"/>
                    <w:lang w:eastAsia="zh-CN"/>
                  </w:rPr>
                  <m:t>2</m:t>
                </m:r>
              </m:sub>
            </m:sSub>
          </m:e>
        </m:d>
        <m:r>
          <w:rPr>
            <w:rFonts w:ascii="Cambria Math" w:eastAsia="SimSun"/>
            <w:sz w:val="20"/>
            <w:lang w:eastAsia="zh-CN"/>
          </w:rPr>
          <m:t>=</m:t>
        </m:r>
        <m:r>
          <w:rPr>
            <w:rFonts w:ascii="Cambria Math" w:eastAsia="SimSun" w:hAnsi="Cambria Math"/>
            <w:sz w:val="20"/>
            <w:lang w:eastAsia="zh-CN"/>
          </w:rPr>
          <m:t>PL</m:t>
        </m:r>
        <m:d>
          <m:dPr>
            <m:ctrlPr>
              <w:rPr>
                <w:rFonts w:ascii="Cambria Math" w:eastAsia="SimSun" w:hAnsi="Cambria Math"/>
                <w:bCs/>
                <w:i/>
                <w:iCs/>
                <w:sz w:val="20"/>
                <w:lang w:eastAsia="zh-CN"/>
              </w:rPr>
            </m:ctrlPr>
          </m:dPr>
          <m:e>
            <m:sSub>
              <m:sSubPr>
                <m:ctrlPr>
                  <w:rPr>
                    <w:rFonts w:ascii="Cambria Math" w:eastAsia="SimSun" w:hAnsi="Cambria Math"/>
                    <w:bCs/>
                    <w:i/>
                    <w:iCs/>
                    <w:sz w:val="20"/>
                    <w:lang w:eastAsia="zh-CN"/>
                  </w:rPr>
                </m:ctrlPr>
              </m:sSubPr>
              <m:e>
                <m:r>
                  <w:rPr>
                    <w:rFonts w:ascii="Cambria Math" w:eastAsia="SimSun" w:hAnsi="Cambria Math"/>
                    <w:sz w:val="20"/>
                    <w:lang w:eastAsia="zh-CN"/>
                  </w:rPr>
                  <m:t>d</m:t>
                </m:r>
              </m:e>
              <m:sub>
                <m:r>
                  <w:rPr>
                    <w:rFonts w:ascii="Cambria Math" w:eastAsia="SimSun"/>
                    <w:sz w:val="20"/>
                    <w:lang w:eastAsia="zh-CN"/>
                  </w:rPr>
                  <m:t>1</m:t>
                </m:r>
              </m:sub>
            </m:sSub>
          </m:e>
        </m:d>
        <m:r>
          <w:rPr>
            <w:rFonts w:ascii="Cambria Math" w:eastAsia="SimSun"/>
            <w:sz w:val="20"/>
            <w:lang w:eastAsia="zh-CN"/>
          </w:rPr>
          <m:t>+</m:t>
        </m:r>
        <m:r>
          <w:rPr>
            <w:rFonts w:ascii="Cambria Math" w:eastAsia="SimSun" w:hAnsi="Cambria Math"/>
            <w:sz w:val="20"/>
            <w:lang w:eastAsia="zh-CN"/>
          </w:rPr>
          <m:t>PL</m:t>
        </m:r>
        <m:d>
          <m:dPr>
            <m:ctrlPr>
              <w:rPr>
                <w:rFonts w:ascii="Cambria Math" w:eastAsia="SimSun" w:hAnsi="Cambria Math"/>
                <w:bCs/>
                <w:i/>
                <w:iCs/>
                <w:sz w:val="20"/>
                <w:lang w:eastAsia="zh-CN"/>
              </w:rPr>
            </m:ctrlPr>
          </m:dPr>
          <m:e>
            <m:sSub>
              <m:sSubPr>
                <m:ctrlPr>
                  <w:rPr>
                    <w:rFonts w:ascii="Cambria Math" w:eastAsia="SimSun" w:hAnsi="Cambria Math"/>
                    <w:bCs/>
                    <w:i/>
                    <w:iCs/>
                    <w:sz w:val="20"/>
                    <w:lang w:eastAsia="zh-CN"/>
                  </w:rPr>
                </m:ctrlPr>
              </m:sSubPr>
              <m:e>
                <m:r>
                  <w:rPr>
                    <w:rFonts w:ascii="Cambria Math" w:eastAsia="SimSun" w:hAnsi="Cambria Math"/>
                    <w:sz w:val="20"/>
                    <w:lang w:eastAsia="zh-CN"/>
                  </w:rPr>
                  <m:t>d</m:t>
                </m:r>
              </m:e>
              <m:sub>
                <m:r>
                  <w:rPr>
                    <w:rFonts w:ascii="Cambria Math" w:eastAsia="SimSun"/>
                    <w:sz w:val="20"/>
                    <w:lang w:eastAsia="zh-CN"/>
                  </w:rPr>
                  <m:t>2</m:t>
                </m:r>
              </m:sub>
            </m:sSub>
          </m:e>
        </m:d>
        <m:r>
          <w:rPr>
            <w:rFonts w:ascii="Cambria Math" w:eastAsia="SimSun"/>
            <w:sz w:val="20"/>
            <w:lang w:eastAsia="zh-CN"/>
          </w:rPr>
          <m:t>+10</m:t>
        </m:r>
        <m:func>
          <m:funcPr>
            <m:ctrlPr>
              <w:rPr>
                <w:rFonts w:ascii="Cambria Math" w:eastAsia="SimSun" w:hAnsi="Cambria Math"/>
                <w:bCs/>
                <w:i/>
                <w:iCs/>
                <w:sz w:val="20"/>
                <w:lang w:eastAsia="zh-CN"/>
              </w:rPr>
            </m:ctrlPr>
          </m:funcPr>
          <m:fName>
            <m:sSub>
              <m:sSubPr>
                <m:ctrlPr>
                  <w:rPr>
                    <w:rFonts w:ascii="Cambria Math" w:eastAsia="SimSun" w:hAnsi="Cambria Math"/>
                    <w:bCs/>
                    <w:i/>
                    <w:iCs/>
                    <w:sz w:val="20"/>
                    <w:lang w:eastAsia="zh-CN"/>
                  </w:rPr>
                </m:ctrlPr>
              </m:sSubPr>
              <m:e>
                <m:r>
                  <w:rPr>
                    <w:rFonts w:ascii="Cambria Math" w:eastAsia="SimSun" w:hAnsi="Cambria Math"/>
                    <w:sz w:val="20"/>
                  </w:rPr>
                  <m:t>log</m:t>
                </m:r>
              </m:e>
              <m:sub>
                <m:r>
                  <w:rPr>
                    <w:rFonts w:ascii="Cambria Math" w:eastAsia="SimSun"/>
                    <w:sz w:val="20"/>
                    <w:lang w:eastAsia="zh-CN"/>
                  </w:rPr>
                  <m:t>10</m:t>
                </m:r>
              </m:sub>
            </m:sSub>
          </m:fName>
          <m:e>
            <m:d>
              <m:dPr>
                <m:ctrlPr>
                  <w:rPr>
                    <w:rFonts w:ascii="Cambria Math" w:eastAsia="SimSun" w:hAnsi="Cambria Math"/>
                    <w:bCs/>
                    <w:i/>
                    <w:iCs/>
                    <w:sz w:val="20"/>
                    <w:lang w:eastAsia="zh-CN"/>
                  </w:rPr>
                </m:ctrlPr>
              </m:dPr>
              <m:e>
                <m:f>
                  <m:fPr>
                    <m:ctrlPr>
                      <w:rPr>
                        <w:rFonts w:ascii="Cambria Math" w:eastAsia="SimSun" w:hAnsi="Cambria Math"/>
                        <w:bCs/>
                        <w:i/>
                        <w:iCs/>
                        <w:sz w:val="20"/>
                        <w:lang w:eastAsia="zh-CN"/>
                      </w:rPr>
                    </m:ctrlPr>
                  </m:fPr>
                  <m:num>
                    <m:sSup>
                      <m:sSupPr>
                        <m:ctrlPr>
                          <w:rPr>
                            <w:rFonts w:ascii="Cambria Math" w:eastAsia="SimSun" w:hAnsi="Cambria Math"/>
                            <w:bCs/>
                            <w:i/>
                            <w:iCs/>
                            <w:sz w:val="20"/>
                            <w:lang w:eastAsia="zh-CN"/>
                          </w:rPr>
                        </m:ctrlPr>
                      </m:sSupPr>
                      <m:e>
                        <m:r>
                          <w:rPr>
                            <w:rFonts w:ascii="Cambria Math" w:eastAsia="SimSun" w:hAnsi="Cambria Math"/>
                            <w:sz w:val="20"/>
                            <w:lang w:eastAsia="zh-CN"/>
                          </w:rPr>
                          <m:t>λ</m:t>
                        </m:r>
                      </m:e>
                      <m:sup>
                        <m:r>
                          <w:rPr>
                            <w:rFonts w:ascii="Cambria Math" w:eastAsia="SimSun"/>
                            <w:sz w:val="20"/>
                            <w:lang w:eastAsia="zh-CN"/>
                          </w:rPr>
                          <m:t>2</m:t>
                        </m:r>
                      </m:sup>
                    </m:sSup>
                  </m:num>
                  <m:den>
                    <m:r>
                      <w:rPr>
                        <w:rFonts w:ascii="Cambria Math" w:eastAsia="SimSun"/>
                        <w:sz w:val="20"/>
                        <w:lang w:eastAsia="zh-CN"/>
                      </w:rPr>
                      <m:t>4</m:t>
                    </m:r>
                    <m:r>
                      <w:rPr>
                        <w:rFonts w:ascii="Cambria Math" w:eastAsia="SimSun" w:hAnsi="Cambria Math"/>
                        <w:sz w:val="20"/>
                        <w:lang w:eastAsia="zh-CN"/>
                      </w:rPr>
                      <m:t>πA</m:t>
                    </m:r>
                  </m:den>
                </m:f>
              </m:e>
            </m:d>
          </m:e>
        </m:func>
      </m:oMath>
      <w:r w:rsidR="00B83ECF" w:rsidRPr="004F1D5F">
        <w:rPr>
          <w:sz w:val="20"/>
        </w:rPr>
        <w:t xml:space="preserve">. By comparing </w:t>
      </w:r>
      <w:r w:rsidR="00A32695">
        <w:t xml:space="preserve"> </w:t>
      </w:r>
      <m:oMath>
        <m:f>
          <m:fPr>
            <m:ctrlPr>
              <w:rPr>
                <w:rFonts w:ascii="Cambria Math" w:eastAsia="SimSun" w:hAnsi="Cambria Math"/>
                <w:bCs/>
                <w:i/>
                <w:iCs/>
                <w:lang w:eastAsia="zh-CN"/>
              </w:rPr>
            </m:ctrlPr>
          </m:fPr>
          <m:num>
            <m:r>
              <w:rPr>
                <w:rFonts w:ascii="Cambria Math" w:eastAsia="SimSun"/>
                <w:lang w:eastAsia="zh-CN"/>
              </w:rPr>
              <m:t>4</m:t>
            </m:r>
            <m:r>
              <w:rPr>
                <w:rFonts w:ascii="Cambria Math" w:eastAsia="SimSun" w:hAnsi="Cambria Math"/>
                <w:lang w:eastAsia="zh-CN"/>
              </w:rPr>
              <m:t>π</m:t>
            </m:r>
          </m:num>
          <m:den>
            <m:sSup>
              <m:sSupPr>
                <m:ctrlPr>
                  <w:rPr>
                    <w:rFonts w:ascii="Cambria Math" w:eastAsia="SimSun" w:hAnsi="Cambria Math"/>
                    <w:bCs/>
                    <w:i/>
                    <w:iCs/>
                    <w:lang w:eastAsia="zh-CN"/>
                  </w:rPr>
                </m:ctrlPr>
              </m:sSupPr>
              <m:e>
                <m:r>
                  <w:rPr>
                    <w:rFonts w:ascii="Cambria Math" w:eastAsia="SimSun" w:hAnsi="Cambria Math"/>
                    <w:lang w:eastAsia="zh-CN"/>
                  </w:rPr>
                  <m:t>λ</m:t>
                </m:r>
              </m:e>
              <m:sup>
                <m:r>
                  <w:rPr>
                    <w:rFonts w:ascii="Cambria Math" w:eastAsia="SimSun"/>
                    <w:lang w:eastAsia="zh-CN"/>
                  </w:rPr>
                  <m:t>2</m:t>
                </m:r>
              </m:sup>
            </m:sSup>
          </m:den>
        </m:f>
        <m:sSub>
          <m:sSubPr>
            <m:ctrlPr>
              <w:rPr>
                <w:rFonts w:ascii="Cambria Math" w:hAnsi="Cambria Math"/>
                <w:i/>
                <w:sz w:val="20"/>
              </w:rPr>
            </m:ctrlPr>
          </m:sSubPr>
          <m:e>
            <m:r>
              <w:rPr>
                <w:rFonts w:ascii="Cambria Math" w:hAnsi="Cambria Math"/>
                <w:sz w:val="20"/>
              </w:rPr>
              <m:t>PL</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PL</m:t>
            </m:r>
          </m:e>
          <m:sub>
            <m:r>
              <w:rPr>
                <w:rFonts w:ascii="Cambria Math" w:hAnsi="Cambria Math"/>
                <w:sz w:val="20"/>
              </w:rPr>
              <m:t>2</m:t>
            </m:r>
          </m:sub>
        </m:sSub>
        <m:r>
          <w:rPr>
            <w:rFonts w:ascii="Cambria Math" w:hAnsi="Cambria Math"/>
            <w:sz w:val="20"/>
          </w:rPr>
          <m:t>∙</m:t>
        </m:r>
        <m:nary>
          <m:naryPr>
            <m:chr m:val="∑"/>
            <m:limLoc m:val="undOvr"/>
            <m:supHide m:val="1"/>
            <m:ctrlPr>
              <w:rPr>
                <w:rFonts w:ascii="Cambria Math" w:hAnsi="Cambria Math"/>
                <w:sz w:val="20"/>
              </w:rPr>
            </m:ctrlPr>
          </m:naryPr>
          <m:sub>
            <m:r>
              <m:rPr>
                <m:sty m:val="p"/>
              </m:rPr>
              <w:rPr>
                <w:rFonts w:ascii="Cambria Math" w:hAnsi="Cambria Math"/>
                <w:sz w:val="20"/>
              </w:rPr>
              <m:t>i</m:t>
            </m:r>
          </m:sub>
          <m:sup/>
          <m:e>
            <m:nary>
              <m:naryPr>
                <m:chr m:val="∑"/>
                <m:limLoc m:val="undOvr"/>
                <m:supHide m:val="1"/>
                <m:ctrlPr>
                  <w:rPr>
                    <w:rFonts w:ascii="Cambria Math" w:hAnsi="Cambria Math"/>
                    <w:sz w:val="20"/>
                  </w:rPr>
                </m:ctrlPr>
              </m:naryPr>
              <m:sub>
                <m:r>
                  <m:rPr>
                    <m:sty m:val="p"/>
                  </m:rPr>
                  <w:rPr>
                    <w:rFonts w:ascii="Cambria Math" w:hAnsi="Cambria Math"/>
                    <w:sz w:val="20"/>
                  </w:rPr>
                  <m:t>j</m:t>
                </m:r>
              </m:sub>
              <m:sup/>
              <m:e>
                <m:sSub>
                  <m:sSubPr>
                    <m:ctrlPr>
                      <w:rPr>
                        <w:rFonts w:ascii="Cambria Math" w:hAnsi="Cambria Math"/>
                        <w:i/>
                        <w:sz w:val="20"/>
                      </w:rPr>
                    </m:ctrlPr>
                  </m:sSubPr>
                  <m:e>
                    <m:r>
                      <w:rPr>
                        <w:rFonts w:ascii="Cambria Math" w:hAnsi="Cambria Math"/>
                        <w:sz w:val="20"/>
                      </w:rPr>
                      <m:t>p</m:t>
                    </m:r>
                  </m:e>
                  <m:sub>
                    <m:r>
                      <w:rPr>
                        <w:rFonts w:ascii="Cambria Math" w:hAnsi="Cambria Math"/>
                        <w:sz w:val="20"/>
                      </w:rPr>
                      <m:t>1,i</m:t>
                    </m:r>
                  </m:sub>
                </m:sSub>
                <m:sSub>
                  <m:sSubPr>
                    <m:ctrlPr>
                      <w:rPr>
                        <w:rFonts w:ascii="Cambria Math" w:hAnsi="Cambria Math"/>
                        <w:i/>
                        <w:sz w:val="20"/>
                      </w:rPr>
                    </m:ctrlPr>
                  </m:sSubPr>
                  <m:e>
                    <m:r>
                      <w:rPr>
                        <w:rFonts w:ascii="Cambria Math" w:hAnsi="Cambria Math"/>
                        <w:sz w:val="20"/>
                      </w:rPr>
                      <m:t>RCS</m:t>
                    </m:r>
                  </m:e>
                  <m:sub>
                    <m:r>
                      <w:rPr>
                        <w:rFonts w:ascii="Cambria Math" w:hAnsi="Cambria Math"/>
                        <w:sz w:val="20"/>
                      </w:rPr>
                      <m:t>i,j</m:t>
                    </m:r>
                  </m:sub>
                </m:sSub>
                <m:sSub>
                  <m:sSubPr>
                    <m:ctrlPr>
                      <w:rPr>
                        <w:rFonts w:ascii="Cambria Math" w:hAnsi="Cambria Math"/>
                        <w:i/>
                        <w:sz w:val="20"/>
                      </w:rPr>
                    </m:ctrlPr>
                  </m:sSubPr>
                  <m:e>
                    <m:r>
                      <w:rPr>
                        <w:rFonts w:ascii="Cambria Math" w:hAnsi="Cambria Math"/>
                        <w:sz w:val="20"/>
                      </w:rPr>
                      <m:t>p</m:t>
                    </m:r>
                  </m:e>
                  <m:sub>
                    <m:r>
                      <w:rPr>
                        <w:rFonts w:ascii="Cambria Math" w:hAnsi="Cambria Math"/>
                        <w:sz w:val="20"/>
                      </w:rPr>
                      <m:t>2,j</m:t>
                    </m:r>
                  </m:sub>
                </m:sSub>
              </m:e>
            </m:nary>
          </m:e>
        </m:nary>
      </m:oMath>
      <w:r w:rsidR="00B83ECF" w:rsidRPr="004F1D5F">
        <w:rPr>
          <w:sz w:val="20"/>
        </w:rPr>
        <w:t xml:space="preserve"> as a total large-scale gain in scaling and </w:t>
      </w:r>
      <m:oMath>
        <m:r>
          <w:rPr>
            <w:rFonts w:ascii="Cambria Math" w:eastAsia="SimSun" w:hAnsi="Cambria Math"/>
            <w:sz w:val="20"/>
            <w:lang w:eastAsia="zh-CN"/>
          </w:rPr>
          <m:t>PL</m:t>
        </m:r>
        <m:d>
          <m:dPr>
            <m:ctrlPr>
              <w:rPr>
                <w:rFonts w:ascii="Cambria Math" w:eastAsia="SimSun" w:hAnsi="Cambria Math"/>
                <w:bCs/>
                <w:i/>
                <w:iCs/>
                <w:sz w:val="20"/>
                <w:lang w:eastAsia="zh-CN"/>
              </w:rPr>
            </m:ctrlPr>
          </m:dPr>
          <m:e>
            <m:sSub>
              <m:sSubPr>
                <m:ctrlPr>
                  <w:rPr>
                    <w:rFonts w:ascii="Cambria Math" w:eastAsia="SimSun" w:hAnsi="Cambria Math"/>
                    <w:bCs/>
                    <w:i/>
                    <w:iCs/>
                    <w:sz w:val="20"/>
                    <w:lang w:eastAsia="zh-CN"/>
                  </w:rPr>
                </m:ctrlPr>
              </m:sSubPr>
              <m:e>
                <m:r>
                  <w:rPr>
                    <w:rFonts w:ascii="Cambria Math" w:eastAsia="SimSun" w:hAnsi="Cambria Math"/>
                    <w:sz w:val="20"/>
                    <w:lang w:eastAsia="zh-CN"/>
                  </w:rPr>
                  <m:t>d</m:t>
                </m:r>
              </m:e>
              <m:sub>
                <m:r>
                  <w:rPr>
                    <w:rFonts w:ascii="Cambria Math" w:eastAsia="SimSun"/>
                    <w:sz w:val="20"/>
                    <w:lang w:eastAsia="zh-CN"/>
                  </w:rPr>
                  <m:t>1</m:t>
                </m:r>
              </m:sub>
            </m:sSub>
          </m:e>
        </m:d>
        <m:r>
          <w:rPr>
            <w:rFonts w:ascii="Cambria Math" w:eastAsia="SimSun"/>
            <w:sz w:val="20"/>
            <w:lang w:eastAsia="zh-CN"/>
          </w:rPr>
          <m:t>+</m:t>
        </m:r>
        <m:r>
          <w:rPr>
            <w:rFonts w:ascii="Cambria Math" w:eastAsia="SimSun" w:hAnsi="Cambria Math"/>
            <w:sz w:val="20"/>
            <w:lang w:eastAsia="zh-CN"/>
          </w:rPr>
          <m:t>PL</m:t>
        </m:r>
        <m:d>
          <m:dPr>
            <m:ctrlPr>
              <w:rPr>
                <w:rFonts w:ascii="Cambria Math" w:eastAsia="SimSun" w:hAnsi="Cambria Math"/>
                <w:bCs/>
                <w:i/>
                <w:iCs/>
                <w:sz w:val="20"/>
                <w:lang w:eastAsia="zh-CN"/>
              </w:rPr>
            </m:ctrlPr>
          </m:dPr>
          <m:e>
            <m:sSub>
              <m:sSubPr>
                <m:ctrlPr>
                  <w:rPr>
                    <w:rFonts w:ascii="Cambria Math" w:eastAsia="SimSun" w:hAnsi="Cambria Math"/>
                    <w:bCs/>
                    <w:i/>
                    <w:iCs/>
                    <w:sz w:val="20"/>
                    <w:lang w:eastAsia="zh-CN"/>
                  </w:rPr>
                </m:ctrlPr>
              </m:sSubPr>
              <m:e>
                <m:r>
                  <w:rPr>
                    <w:rFonts w:ascii="Cambria Math" w:eastAsia="SimSun" w:hAnsi="Cambria Math"/>
                    <w:sz w:val="20"/>
                    <w:lang w:eastAsia="zh-CN"/>
                  </w:rPr>
                  <m:t>d</m:t>
                </m:r>
              </m:e>
              <m:sub>
                <m:r>
                  <w:rPr>
                    <w:rFonts w:ascii="Cambria Math" w:eastAsia="SimSun"/>
                    <w:sz w:val="20"/>
                    <w:lang w:eastAsia="zh-CN"/>
                  </w:rPr>
                  <m:t>2</m:t>
                </m:r>
              </m:sub>
            </m:sSub>
          </m:e>
        </m:d>
        <m:r>
          <w:rPr>
            <w:rFonts w:ascii="Cambria Math" w:eastAsia="SimSun"/>
            <w:sz w:val="20"/>
            <w:lang w:eastAsia="zh-CN"/>
          </w:rPr>
          <m:t>+10</m:t>
        </m:r>
        <m:func>
          <m:funcPr>
            <m:ctrlPr>
              <w:rPr>
                <w:rFonts w:ascii="Cambria Math" w:eastAsia="SimSun" w:hAnsi="Cambria Math"/>
                <w:bCs/>
                <w:i/>
                <w:iCs/>
                <w:sz w:val="20"/>
                <w:lang w:eastAsia="zh-CN"/>
              </w:rPr>
            </m:ctrlPr>
          </m:funcPr>
          <m:fName>
            <m:sSub>
              <m:sSubPr>
                <m:ctrlPr>
                  <w:rPr>
                    <w:rFonts w:ascii="Cambria Math" w:eastAsia="SimSun" w:hAnsi="Cambria Math"/>
                    <w:bCs/>
                    <w:i/>
                    <w:iCs/>
                    <w:sz w:val="20"/>
                    <w:lang w:eastAsia="zh-CN"/>
                  </w:rPr>
                </m:ctrlPr>
              </m:sSubPr>
              <m:e>
                <m:r>
                  <w:rPr>
                    <w:rFonts w:ascii="Cambria Math" w:eastAsia="SimSun" w:hAnsi="Cambria Math"/>
                    <w:sz w:val="20"/>
                  </w:rPr>
                  <m:t>log</m:t>
                </m:r>
              </m:e>
              <m:sub>
                <m:r>
                  <w:rPr>
                    <w:rFonts w:ascii="Cambria Math" w:eastAsia="SimSun"/>
                    <w:sz w:val="20"/>
                    <w:lang w:eastAsia="zh-CN"/>
                  </w:rPr>
                  <m:t>10</m:t>
                </m:r>
              </m:sub>
            </m:sSub>
          </m:fName>
          <m:e>
            <m:d>
              <m:dPr>
                <m:ctrlPr>
                  <w:rPr>
                    <w:rFonts w:ascii="Cambria Math" w:eastAsia="SimSun" w:hAnsi="Cambria Math"/>
                    <w:bCs/>
                    <w:i/>
                    <w:iCs/>
                    <w:sz w:val="20"/>
                    <w:lang w:eastAsia="zh-CN"/>
                  </w:rPr>
                </m:ctrlPr>
              </m:dPr>
              <m:e>
                <m:f>
                  <m:fPr>
                    <m:ctrlPr>
                      <w:rPr>
                        <w:rFonts w:ascii="Cambria Math" w:eastAsia="SimSun" w:hAnsi="Cambria Math"/>
                        <w:bCs/>
                        <w:i/>
                        <w:iCs/>
                        <w:sz w:val="20"/>
                        <w:lang w:eastAsia="zh-CN"/>
                      </w:rPr>
                    </m:ctrlPr>
                  </m:fPr>
                  <m:num>
                    <m:sSup>
                      <m:sSupPr>
                        <m:ctrlPr>
                          <w:rPr>
                            <w:rFonts w:ascii="Cambria Math" w:eastAsia="SimSun" w:hAnsi="Cambria Math"/>
                            <w:bCs/>
                            <w:i/>
                            <w:iCs/>
                            <w:sz w:val="20"/>
                            <w:lang w:eastAsia="zh-CN"/>
                          </w:rPr>
                        </m:ctrlPr>
                      </m:sSupPr>
                      <m:e>
                        <m:r>
                          <w:rPr>
                            <w:rFonts w:ascii="Cambria Math" w:eastAsia="SimSun" w:hAnsi="Cambria Math"/>
                            <w:sz w:val="20"/>
                            <w:lang w:eastAsia="zh-CN"/>
                          </w:rPr>
                          <m:t>λ</m:t>
                        </m:r>
                      </m:e>
                      <m:sup>
                        <m:r>
                          <w:rPr>
                            <w:rFonts w:ascii="Cambria Math" w:eastAsia="SimSun"/>
                            <w:sz w:val="20"/>
                            <w:lang w:eastAsia="zh-CN"/>
                          </w:rPr>
                          <m:t>2</m:t>
                        </m:r>
                      </m:sup>
                    </m:sSup>
                  </m:num>
                  <m:den>
                    <m:r>
                      <w:rPr>
                        <w:rFonts w:ascii="Cambria Math" w:eastAsia="SimSun"/>
                        <w:sz w:val="20"/>
                        <w:lang w:eastAsia="zh-CN"/>
                      </w:rPr>
                      <m:t>4</m:t>
                    </m:r>
                    <m:r>
                      <w:rPr>
                        <w:rFonts w:ascii="Cambria Math" w:eastAsia="SimSun" w:hAnsi="Cambria Math"/>
                        <w:sz w:val="20"/>
                        <w:lang w:eastAsia="zh-CN"/>
                      </w:rPr>
                      <m:t>πA</m:t>
                    </m:r>
                  </m:den>
                </m:f>
              </m:e>
            </m:d>
          </m:e>
        </m:func>
      </m:oMath>
      <w:r w:rsidR="00B83ECF" w:rsidRPr="004F1D5F">
        <w:rPr>
          <w:bCs/>
          <w:iCs/>
          <w:sz w:val="20"/>
          <w:lang w:eastAsia="zh-CN"/>
        </w:rPr>
        <w:t xml:space="preserve"> as a total large-scale loss in dB, we have</w:t>
      </w:r>
    </w:p>
    <w:p w:rsidR="00D96EA7" w:rsidRDefault="004F1D5F" w:rsidP="00B83ECF">
      <w:pPr>
        <w:ind w:left="3240"/>
      </w:pPr>
      <m:oMath>
        <m:r>
          <w:rPr>
            <w:rFonts w:ascii="Cambria Math" w:eastAsia="SimSun" w:hAnsi="Cambria Math"/>
            <w:lang w:eastAsia="zh-CN"/>
          </w:rPr>
          <m:t>A=</m:t>
        </m:r>
        <m:nary>
          <m:naryPr>
            <m:chr m:val="∑"/>
            <m:limLoc m:val="undOvr"/>
            <m:supHide m:val="1"/>
            <m:ctrlPr>
              <w:rPr>
                <w:rFonts w:ascii="DejaVu Math TeX Gyre" w:hAnsi="DejaVu Math TeX Gyre"/>
              </w:rPr>
            </m:ctrlPr>
          </m:naryPr>
          <m:sub>
            <m:r>
              <m:rPr>
                <m:sty m:val="p"/>
              </m:rPr>
              <w:rPr>
                <w:rFonts w:ascii="DejaVu Math TeX Gyre" w:hAnsi="DejaVu Math TeX Gyre"/>
              </w:rPr>
              <m:t>i</m:t>
            </m:r>
          </m:sub>
          <m:sup/>
          <m:e>
            <m:nary>
              <m:naryPr>
                <m:chr m:val="∑"/>
                <m:limLoc m:val="undOvr"/>
                <m:supHide m:val="1"/>
                <m:ctrlPr>
                  <w:rPr>
                    <w:rFonts w:ascii="DejaVu Math TeX Gyre" w:hAnsi="DejaVu Math TeX Gyre"/>
                  </w:rPr>
                </m:ctrlPr>
              </m:naryPr>
              <m:sub>
                <m:r>
                  <m:rPr>
                    <m:sty m:val="p"/>
                  </m:rPr>
                  <w:rPr>
                    <w:rFonts w:ascii="DejaVu Math TeX Gyre" w:hAnsi="DejaVu Math TeX Gyre"/>
                  </w:rPr>
                  <m:t>j</m:t>
                </m:r>
              </m:sub>
              <m:sup/>
              <m:e>
                <m:sSub>
                  <m:sSubPr>
                    <m:ctrlPr>
                      <w:rPr>
                        <w:rFonts w:ascii="DejaVu Math TeX Gyre" w:hAnsi="DejaVu Math TeX Gyre"/>
                        <w:i/>
                      </w:rPr>
                    </m:ctrlPr>
                  </m:sSubPr>
                  <m:e>
                    <m:r>
                      <w:rPr>
                        <w:rFonts w:ascii="DejaVu Math TeX Gyre" w:hAnsi="DejaVu Math TeX Gyre"/>
                      </w:rPr>
                      <m:t>p</m:t>
                    </m:r>
                  </m:e>
                  <m:sub>
                    <m:r>
                      <w:rPr>
                        <w:rFonts w:ascii="DejaVu Math TeX Gyre" w:hAnsi="DejaVu Math TeX Gyre"/>
                      </w:rPr>
                      <m:t>1,i</m:t>
                    </m:r>
                  </m:sub>
                </m:sSub>
                <m:sSub>
                  <m:sSubPr>
                    <m:ctrlPr>
                      <w:rPr>
                        <w:rFonts w:ascii="DejaVu Math TeX Gyre" w:hAnsi="DejaVu Math TeX Gyre"/>
                        <w:i/>
                      </w:rPr>
                    </m:ctrlPr>
                  </m:sSubPr>
                  <m:e>
                    <m:r>
                      <w:rPr>
                        <w:rFonts w:ascii="DejaVu Math TeX Gyre" w:hAnsi="DejaVu Math TeX Gyre"/>
                      </w:rPr>
                      <m:t>RCS</m:t>
                    </m:r>
                  </m:e>
                  <m:sub>
                    <m:r>
                      <w:rPr>
                        <w:rFonts w:ascii="DejaVu Math TeX Gyre" w:hAnsi="DejaVu Math TeX Gyre"/>
                      </w:rPr>
                      <m:t>i,j</m:t>
                    </m:r>
                  </m:sub>
                </m:sSub>
                <m:sSub>
                  <m:sSubPr>
                    <m:ctrlPr>
                      <w:rPr>
                        <w:rFonts w:ascii="DejaVu Math TeX Gyre" w:hAnsi="DejaVu Math TeX Gyre"/>
                        <w:i/>
                      </w:rPr>
                    </m:ctrlPr>
                  </m:sSubPr>
                  <m:e>
                    <m:r>
                      <w:rPr>
                        <w:rFonts w:ascii="DejaVu Math TeX Gyre" w:hAnsi="DejaVu Math TeX Gyre"/>
                      </w:rPr>
                      <m:t>p</m:t>
                    </m:r>
                  </m:e>
                  <m:sub>
                    <m:r>
                      <w:rPr>
                        <w:rFonts w:ascii="DejaVu Math TeX Gyre" w:hAnsi="DejaVu Math TeX Gyre"/>
                      </w:rPr>
                      <m:t>2,j</m:t>
                    </m:r>
                  </m:sub>
                </m:sSub>
              </m:e>
            </m:nary>
          </m:e>
        </m:nary>
      </m:oMath>
      <w:r w:rsidR="00B83ECF">
        <w:t xml:space="preserve">                                (1)</w:t>
      </w:r>
    </w:p>
    <w:p w:rsidR="004F1D5F" w:rsidRDefault="004F1D5F" w:rsidP="004F1D5F">
      <w:pPr>
        <w:pStyle w:val="ListParagraph"/>
        <w:numPr>
          <w:ilvl w:val="0"/>
          <w:numId w:val="20"/>
        </w:numPr>
        <w:ind w:leftChars="0"/>
        <w:rPr>
          <w:sz w:val="20"/>
        </w:rPr>
      </w:pPr>
      <w:r w:rsidRPr="004F1D5F">
        <w:rPr>
          <w:sz w:val="20"/>
        </w:rPr>
        <w:t xml:space="preserve">For the small-scale fading in target channel, </w:t>
      </w:r>
      <w:r>
        <w:rPr>
          <w:sz w:val="20"/>
        </w:rPr>
        <w:t xml:space="preserve">it </w:t>
      </w:r>
      <w:r w:rsidRPr="004F1D5F">
        <w:rPr>
          <w:sz w:val="20"/>
        </w:rPr>
        <w:t>should have unit total power per conventional definition of the small-scale fading</w:t>
      </w:r>
      <w:r>
        <w:rPr>
          <w:sz w:val="20"/>
        </w:rPr>
        <w:t xml:space="preserve">. Therefore, if the power of each pair of incident/scattering clusters/rays is eventually </w:t>
      </w:r>
      <w:r w:rsidRPr="004F1D5F">
        <w:rPr>
          <w:sz w:val="20"/>
        </w:rPr>
        <w:t xml:space="preserve">formulated as  </w:t>
      </w:r>
      <m:oMath>
        <m:sSub>
          <m:sSubPr>
            <m:ctrlPr>
              <w:rPr>
                <w:rFonts w:ascii="DejaVu Math TeX Gyre" w:hAnsi="DejaVu Math TeX Gyre"/>
                <w:i/>
                <w:sz w:val="20"/>
              </w:rPr>
            </m:ctrlPr>
          </m:sSubPr>
          <m:e>
            <m:r>
              <w:rPr>
                <w:rFonts w:ascii="DejaVu Math TeX Gyre" w:hAnsi="DejaVu Math TeX Gyre"/>
                <w:sz w:val="20"/>
              </w:rPr>
              <m:t>p</m:t>
            </m:r>
          </m:e>
          <m:sub>
            <m:r>
              <w:rPr>
                <w:rFonts w:ascii="DejaVu Math TeX Gyre" w:hAnsi="DejaVu Math TeX Gyre"/>
                <w:sz w:val="20"/>
              </w:rPr>
              <m:t>1,i</m:t>
            </m:r>
          </m:sub>
        </m:sSub>
        <m:sSub>
          <m:sSubPr>
            <m:ctrlPr>
              <w:rPr>
                <w:rFonts w:ascii="DejaVu Math TeX Gyre" w:hAnsi="DejaVu Math TeX Gyre"/>
                <w:i/>
                <w:sz w:val="20"/>
              </w:rPr>
            </m:ctrlPr>
          </m:sSubPr>
          <m:e>
            <m:r>
              <w:rPr>
                <w:rFonts w:ascii="Cambria Math" w:hAnsi="Cambria Math"/>
                <w:sz w:val="20"/>
              </w:rPr>
              <m:t>B</m:t>
            </m:r>
          </m:e>
          <m:sub>
            <m:r>
              <w:rPr>
                <w:rFonts w:ascii="DejaVu Math TeX Gyre" w:hAnsi="DejaVu Math TeX Gyre"/>
                <w:sz w:val="20"/>
              </w:rPr>
              <m:t>i,j</m:t>
            </m:r>
          </m:sub>
        </m:sSub>
        <m:sSub>
          <m:sSubPr>
            <m:ctrlPr>
              <w:rPr>
                <w:rFonts w:ascii="DejaVu Math TeX Gyre" w:hAnsi="DejaVu Math TeX Gyre"/>
                <w:i/>
                <w:sz w:val="20"/>
              </w:rPr>
            </m:ctrlPr>
          </m:sSubPr>
          <m:e>
            <m:r>
              <w:rPr>
                <w:rFonts w:ascii="DejaVu Math TeX Gyre" w:hAnsi="DejaVu Math TeX Gyre"/>
                <w:sz w:val="20"/>
              </w:rPr>
              <m:t>p</m:t>
            </m:r>
          </m:e>
          <m:sub>
            <m:r>
              <w:rPr>
                <w:rFonts w:ascii="DejaVu Math TeX Gyre" w:hAnsi="DejaVu Math TeX Gyre"/>
                <w:sz w:val="20"/>
              </w:rPr>
              <m:t>2,j</m:t>
            </m:r>
          </m:sub>
        </m:sSub>
      </m:oMath>
      <w:r>
        <w:rPr>
          <w:sz w:val="20"/>
        </w:rPr>
        <w:t xml:space="preserve"> in the small scale fading of the target channel, we can have</w:t>
      </w:r>
    </w:p>
    <w:p w:rsidR="004F1D5F" w:rsidRPr="004F1D5F" w:rsidRDefault="004F1D5F" w:rsidP="004F1D5F">
      <w:pPr>
        <w:pStyle w:val="ListParagraph"/>
        <w:ind w:leftChars="0" w:left="720"/>
        <w:rPr>
          <w:sz w:val="20"/>
        </w:rPr>
      </w:pPr>
    </w:p>
    <w:p w:rsidR="004F1D5F" w:rsidRDefault="00000000" w:rsidP="004F1D5F">
      <w:pPr>
        <w:ind w:left="3240"/>
      </w:pPr>
      <m:oMath>
        <m:sSub>
          <m:sSubPr>
            <m:ctrlPr>
              <w:rPr>
                <w:rFonts w:ascii="DejaVu Math TeX Gyre" w:hAnsi="DejaVu Math TeX Gyre"/>
                <w:i/>
                <w:szCs w:val="20"/>
              </w:rPr>
            </m:ctrlPr>
          </m:sSubPr>
          <m:e>
            <m:r>
              <w:rPr>
                <w:rFonts w:ascii="Cambria Math" w:hAnsi="Cambria Math"/>
                <w:szCs w:val="20"/>
              </w:rPr>
              <m:t>B</m:t>
            </m:r>
          </m:e>
          <m:sub>
            <m:r>
              <w:rPr>
                <w:rFonts w:ascii="DejaVu Math TeX Gyre" w:hAnsi="DejaVu Math TeX Gyre"/>
                <w:szCs w:val="20"/>
              </w:rPr>
              <m:t>i,j</m:t>
            </m:r>
          </m:sub>
        </m:sSub>
        <m:r>
          <w:rPr>
            <w:rFonts w:ascii="Cambria Math" w:hAnsi="DejaVu Math TeX Gyre"/>
            <w:szCs w:val="20"/>
          </w:rPr>
          <m:t>=</m:t>
        </m:r>
        <m:f>
          <m:fPr>
            <m:ctrlPr>
              <w:rPr>
                <w:rFonts w:ascii="Cambria Math" w:hAnsi="DejaVu Math TeX Gyre"/>
                <w:i/>
                <w:szCs w:val="20"/>
              </w:rPr>
            </m:ctrlPr>
          </m:fPr>
          <m:num>
            <m:sSub>
              <m:sSubPr>
                <m:ctrlPr>
                  <w:rPr>
                    <w:rFonts w:ascii="DejaVu Math TeX Gyre" w:hAnsi="DejaVu Math TeX Gyre"/>
                    <w:i/>
                  </w:rPr>
                </m:ctrlPr>
              </m:sSubPr>
              <m:e>
                <m:r>
                  <w:rPr>
                    <w:rFonts w:ascii="DejaVu Math TeX Gyre" w:hAnsi="DejaVu Math TeX Gyre"/>
                  </w:rPr>
                  <m:t>RCS</m:t>
                </m:r>
              </m:e>
              <m:sub>
                <m:r>
                  <w:rPr>
                    <w:rFonts w:ascii="DejaVu Math TeX Gyre" w:hAnsi="DejaVu Math TeX Gyre"/>
                  </w:rPr>
                  <m:t>i,j</m:t>
                </m:r>
              </m:sub>
            </m:sSub>
          </m:num>
          <m:den>
            <m:nary>
              <m:naryPr>
                <m:chr m:val="∑"/>
                <m:limLoc m:val="undOvr"/>
                <m:supHide m:val="1"/>
                <m:ctrlPr>
                  <w:rPr>
                    <w:rFonts w:ascii="Cambria Math" w:hAnsi="Cambria Math"/>
                    <w:i/>
                  </w:rPr>
                </m:ctrlPr>
              </m:naryPr>
              <m:sub>
                <m:r>
                  <w:rPr>
                    <w:rFonts w:ascii="Cambria Math" w:hAnsi="Cambria Math"/>
                  </w:rPr>
                  <m:t>k</m:t>
                </m:r>
              </m:sub>
              <m:sup/>
              <m:e>
                <m:nary>
                  <m:naryPr>
                    <m:chr m:val="∑"/>
                    <m:limLoc m:val="undOvr"/>
                    <m:supHide m:val="1"/>
                    <m:ctrlPr>
                      <w:rPr>
                        <w:rFonts w:ascii="Cambria Math" w:hAnsi="Cambria Math"/>
                        <w:i/>
                      </w:rPr>
                    </m:ctrlPr>
                  </m:naryPr>
                  <m:sub>
                    <m:r>
                      <w:rPr>
                        <w:rFonts w:ascii="Cambria Math" w:hAnsi="Cambria Math"/>
                      </w:rPr>
                      <m:t>l</m:t>
                    </m:r>
                  </m:sub>
                  <m:sup/>
                  <m:e>
                    <m:sSub>
                      <m:sSubPr>
                        <m:ctrlPr>
                          <w:rPr>
                            <w:rFonts w:ascii="Cambria Math" w:hAnsi="Cambria Math"/>
                            <w:i/>
                          </w:rPr>
                        </m:ctrlPr>
                      </m:sSubPr>
                      <m:e>
                        <m:r>
                          <w:rPr>
                            <w:rFonts w:ascii="Cambria Math" w:hAnsi="Cambria Math"/>
                          </w:rPr>
                          <m:t>p</m:t>
                        </m:r>
                      </m:e>
                      <m:sub>
                        <m:r>
                          <w:rPr>
                            <w:rFonts w:ascii="Cambria Math" w:hAnsi="Cambria Math"/>
                          </w:rPr>
                          <m:t>1,k</m:t>
                        </m:r>
                      </m:sub>
                    </m:sSub>
                    <m:sSub>
                      <m:sSubPr>
                        <m:ctrlPr>
                          <w:rPr>
                            <w:rFonts w:ascii="Cambria Math" w:hAnsi="Cambria Math"/>
                            <w:i/>
                          </w:rPr>
                        </m:ctrlPr>
                      </m:sSubPr>
                      <m:e>
                        <m:r>
                          <w:rPr>
                            <w:rFonts w:ascii="Cambria Math" w:hAnsi="Cambria Math"/>
                          </w:rPr>
                          <m:t>RCS</m:t>
                        </m:r>
                      </m:e>
                      <m:sub>
                        <m:r>
                          <w:rPr>
                            <w:rFonts w:ascii="Cambria Math" w:hAnsi="Cambria Math"/>
                          </w:rPr>
                          <m:t>k,l</m:t>
                        </m:r>
                      </m:sub>
                    </m:sSub>
                    <m:sSub>
                      <m:sSubPr>
                        <m:ctrlPr>
                          <w:rPr>
                            <w:rFonts w:ascii="Cambria Math" w:hAnsi="Cambria Math"/>
                            <w:i/>
                          </w:rPr>
                        </m:ctrlPr>
                      </m:sSubPr>
                      <m:e>
                        <m:r>
                          <w:rPr>
                            <w:rFonts w:ascii="Cambria Math" w:hAnsi="Cambria Math"/>
                          </w:rPr>
                          <m:t>p</m:t>
                        </m:r>
                      </m:e>
                      <m:sub>
                        <m:r>
                          <w:rPr>
                            <w:rFonts w:ascii="Cambria Math" w:hAnsi="Cambria Math"/>
                          </w:rPr>
                          <m:t>2,l</m:t>
                        </m:r>
                      </m:sub>
                    </m:sSub>
                  </m:e>
                </m:nary>
              </m:e>
            </m:nary>
          </m:den>
        </m:f>
      </m:oMath>
      <w:r w:rsidR="00A5687A">
        <w:rPr>
          <w:szCs w:val="20"/>
        </w:rPr>
        <w:t xml:space="preserve">                                         (2)</w:t>
      </w:r>
    </w:p>
    <w:p w:rsidR="004F1D5F" w:rsidRDefault="00A5687A" w:rsidP="00A5687A">
      <w:r>
        <w:t>It can be seen from equation (1) that the impact of RCS to large-scale fading of target channel cannot be made independent from the cluster/ray power pair (</w:t>
      </w:r>
      <m:oMath>
        <m:sSub>
          <m:sSubPr>
            <m:ctrlPr>
              <w:rPr>
                <w:rFonts w:ascii="DejaVu Math TeX Gyre" w:hAnsi="DejaVu Math TeX Gyre"/>
                <w:i/>
              </w:rPr>
            </m:ctrlPr>
          </m:sSubPr>
          <m:e>
            <m:r>
              <w:rPr>
                <w:rFonts w:ascii="DejaVu Math TeX Gyre" w:hAnsi="DejaVu Math TeX Gyre"/>
              </w:rPr>
              <m:t>p</m:t>
            </m:r>
          </m:e>
          <m:sub>
            <m:r>
              <w:rPr>
                <w:rFonts w:ascii="DejaVu Math TeX Gyre" w:hAnsi="DejaVu Math TeX Gyre"/>
              </w:rPr>
              <m:t>1,i</m:t>
            </m:r>
          </m:sub>
        </m:sSub>
      </m:oMath>
      <w:r>
        <w:t xml:space="preserve">, </w:t>
      </w:r>
      <m:oMath>
        <m:sSub>
          <m:sSubPr>
            <m:ctrlPr>
              <w:rPr>
                <w:rFonts w:ascii="DejaVu Math TeX Gyre" w:hAnsi="DejaVu Math TeX Gyre"/>
                <w:i/>
              </w:rPr>
            </m:ctrlPr>
          </m:sSubPr>
          <m:e>
            <m:r>
              <w:rPr>
                <w:rFonts w:ascii="DejaVu Math TeX Gyre" w:hAnsi="DejaVu Math TeX Gyre"/>
              </w:rPr>
              <m:t>p</m:t>
            </m:r>
          </m:e>
          <m:sub>
            <m:r>
              <w:rPr>
                <w:rFonts w:ascii="DejaVu Math TeX Gyre" w:hAnsi="DejaVu Math TeX Gyre"/>
              </w:rPr>
              <m:t>2,j</m:t>
            </m:r>
          </m:sub>
        </m:sSub>
      </m:oMath>
      <w:r>
        <w:t xml:space="preserve">), except that </w:t>
      </w:r>
      <m:oMath>
        <m:sSub>
          <m:sSubPr>
            <m:ctrlPr>
              <w:rPr>
                <w:rFonts w:ascii="DejaVu Math TeX Gyre" w:hAnsi="DejaVu Math TeX Gyre"/>
                <w:i/>
              </w:rPr>
            </m:ctrlPr>
          </m:sSubPr>
          <m:e>
            <m:r>
              <w:rPr>
                <w:rFonts w:ascii="DejaVu Math TeX Gyre" w:hAnsi="DejaVu Math TeX Gyre"/>
              </w:rPr>
              <m:t>RCS</m:t>
            </m:r>
          </m:e>
          <m:sub>
            <m:r>
              <w:rPr>
                <w:rFonts w:ascii="DejaVu Math TeX Gyre" w:hAnsi="DejaVu Math TeX Gyre"/>
              </w:rPr>
              <m:t>i,j</m:t>
            </m:r>
          </m:sub>
        </m:sSub>
      </m:oMath>
      <w:r>
        <w:t xml:space="preserve"> is a constant </w:t>
      </w:r>
      <m:oMath>
        <m:sSub>
          <m:sSubPr>
            <m:ctrlPr>
              <w:rPr>
                <w:rFonts w:ascii="DejaVu Math TeX Gyre" w:hAnsi="DejaVu Math TeX Gyre"/>
                <w:i/>
              </w:rPr>
            </m:ctrlPr>
          </m:sSubPr>
          <m:e>
            <m:r>
              <w:rPr>
                <w:rFonts w:ascii="DejaVu Math TeX Gyre" w:hAnsi="DejaVu Math TeX Gyre"/>
              </w:rPr>
              <m:t>RCS</m:t>
            </m:r>
          </m:e>
          <m:sub>
            <m:r>
              <w:rPr>
                <w:rFonts w:ascii="Cambria Math" w:hAnsi="Cambria Math"/>
              </w:rPr>
              <m:t>const</m:t>
            </m:r>
          </m:sub>
        </m:sSub>
      </m:oMath>
      <w:r>
        <w:t xml:space="preserve"> which leads to </w:t>
      </w:r>
      <m:oMath>
        <m:r>
          <w:rPr>
            <w:rFonts w:ascii="Cambria Math" w:eastAsia="SimSun" w:hAnsi="Cambria Math"/>
            <w:lang w:eastAsia="zh-CN"/>
          </w:rPr>
          <m:t>A=</m:t>
        </m:r>
        <m:sSub>
          <m:sSubPr>
            <m:ctrlPr>
              <w:rPr>
                <w:rFonts w:ascii="DejaVu Math TeX Gyre" w:hAnsi="DejaVu Math TeX Gyre"/>
                <w:i/>
              </w:rPr>
            </m:ctrlPr>
          </m:sSubPr>
          <m:e>
            <m:r>
              <w:rPr>
                <w:rFonts w:ascii="DejaVu Math TeX Gyre" w:hAnsi="DejaVu Math TeX Gyre"/>
              </w:rPr>
              <m:t>RCS</m:t>
            </m:r>
          </m:e>
          <m:sub>
            <m:r>
              <w:rPr>
                <w:rFonts w:ascii="Cambria Math" w:hAnsi="Cambria Math"/>
              </w:rPr>
              <m:t>const</m:t>
            </m:r>
          </m:sub>
        </m:sSub>
        <m:d>
          <m:dPr>
            <m:ctrlPr>
              <w:rPr>
                <w:rFonts w:ascii="Cambria Math" w:hAnsi="Cambria Math"/>
                <w:i/>
              </w:rPr>
            </m:ctrlPr>
          </m:dPr>
          <m:e>
            <m:nary>
              <m:naryPr>
                <m:chr m:val="∑"/>
                <m:limLoc m:val="undOvr"/>
                <m:supHide m:val="1"/>
                <m:ctrlPr>
                  <w:rPr>
                    <w:rFonts w:ascii="DejaVu Math TeX Gyre" w:hAnsi="DejaVu Math TeX Gyre"/>
                  </w:rPr>
                </m:ctrlPr>
              </m:naryPr>
              <m:sub>
                <m:r>
                  <m:rPr>
                    <m:sty m:val="p"/>
                  </m:rPr>
                  <w:rPr>
                    <w:rFonts w:ascii="DejaVu Math TeX Gyre" w:hAnsi="DejaVu Math TeX Gyre"/>
                  </w:rPr>
                  <m:t>i</m:t>
                </m:r>
              </m:sub>
              <m:sup/>
              <m:e>
                <m:sSub>
                  <m:sSubPr>
                    <m:ctrlPr>
                      <w:rPr>
                        <w:rFonts w:ascii="DejaVu Math TeX Gyre" w:hAnsi="DejaVu Math TeX Gyre"/>
                        <w:i/>
                      </w:rPr>
                    </m:ctrlPr>
                  </m:sSubPr>
                  <m:e>
                    <m:r>
                      <w:rPr>
                        <w:rFonts w:ascii="DejaVu Math TeX Gyre" w:hAnsi="DejaVu Math TeX Gyre"/>
                      </w:rPr>
                      <m:t>p</m:t>
                    </m:r>
                  </m:e>
                  <m:sub>
                    <m:r>
                      <w:rPr>
                        <w:rFonts w:ascii="DejaVu Math TeX Gyre" w:hAnsi="DejaVu Math TeX Gyre"/>
                      </w:rPr>
                      <m:t>1,i</m:t>
                    </m:r>
                  </m:sub>
                </m:sSub>
              </m:e>
            </m:nary>
          </m:e>
        </m:d>
        <m:d>
          <m:dPr>
            <m:ctrlPr>
              <w:rPr>
                <w:rFonts w:ascii="Cambria Math" w:hAnsi="Cambria Math"/>
                <w:i/>
              </w:rPr>
            </m:ctrlPr>
          </m:dPr>
          <m:e>
            <m:nary>
              <m:naryPr>
                <m:chr m:val="∑"/>
                <m:limLoc m:val="undOvr"/>
                <m:supHide m:val="1"/>
                <m:ctrlPr>
                  <w:rPr>
                    <w:rFonts w:ascii="DejaVu Math TeX Gyre" w:hAnsi="DejaVu Math TeX Gyre"/>
                  </w:rPr>
                </m:ctrlPr>
              </m:naryPr>
              <m:sub>
                <m:r>
                  <m:rPr>
                    <m:sty m:val="p"/>
                  </m:rPr>
                  <w:rPr>
                    <w:rFonts w:ascii="DejaVu Math TeX Gyre" w:hAnsi="DejaVu Math TeX Gyre"/>
                  </w:rPr>
                  <m:t>j</m:t>
                </m:r>
              </m:sub>
              <m:sup/>
              <m:e>
                <m:sSub>
                  <m:sSubPr>
                    <m:ctrlPr>
                      <w:rPr>
                        <w:rFonts w:ascii="DejaVu Math TeX Gyre" w:hAnsi="DejaVu Math TeX Gyre"/>
                        <w:i/>
                      </w:rPr>
                    </m:ctrlPr>
                  </m:sSubPr>
                  <m:e>
                    <m:r>
                      <w:rPr>
                        <w:rFonts w:ascii="DejaVu Math TeX Gyre" w:hAnsi="DejaVu Math TeX Gyre"/>
                      </w:rPr>
                      <m:t>p</m:t>
                    </m:r>
                  </m:e>
                  <m:sub>
                    <m:r>
                      <w:rPr>
                        <w:rFonts w:ascii="DejaVu Math TeX Gyre" w:hAnsi="DejaVu Math TeX Gyre"/>
                      </w:rPr>
                      <m:t>2,j</m:t>
                    </m:r>
                  </m:sub>
                </m:sSub>
              </m:e>
            </m:nary>
          </m:e>
        </m:d>
        <m:r>
          <w:rPr>
            <w:rFonts w:ascii="Cambria Math" w:hAnsi="Cambria Math"/>
          </w:rPr>
          <m:t>=</m:t>
        </m:r>
        <m:sSub>
          <m:sSubPr>
            <m:ctrlPr>
              <w:rPr>
                <w:rFonts w:ascii="DejaVu Math TeX Gyre" w:hAnsi="DejaVu Math TeX Gyre"/>
                <w:i/>
              </w:rPr>
            </m:ctrlPr>
          </m:sSubPr>
          <m:e>
            <m:r>
              <w:rPr>
                <w:rFonts w:ascii="DejaVu Math TeX Gyre" w:hAnsi="DejaVu Math TeX Gyre"/>
              </w:rPr>
              <m:t>RCS</m:t>
            </m:r>
          </m:e>
          <m:sub>
            <m:r>
              <w:rPr>
                <w:rFonts w:ascii="Cambria Math" w:hAnsi="Cambria Math"/>
              </w:rPr>
              <m:t>const</m:t>
            </m:r>
          </m:sub>
        </m:sSub>
      </m:oMath>
      <w:r>
        <w:t>.</w:t>
      </w:r>
      <w:r w:rsidR="00482B47">
        <w:t xml:space="preserve"> However, </w:t>
      </w:r>
      <m:oMath>
        <m:sSub>
          <m:sSubPr>
            <m:ctrlPr>
              <w:rPr>
                <w:rFonts w:ascii="DejaVu Math TeX Gyre" w:hAnsi="DejaVu Math TeX Gyre"/>
                <w:i/>
              </w:rPr>
            </m:ctrlPr>
          </m:sSubPr>
          <m:e>
            <m:r>
              <w:rPr>
                <w:rFonts w:ascii="DejaVu Math TeX Gyre" w:hAnsi="DejaVu Math TeX Gyre"/>
              </w:rPr>
              <m:t>RCS</m:t>
            </m:r>
          </m:e>
          <m:sub>
            <m:r>
              <w:rPr>
                <w:rFonts w:ascii="DejaVu Math TeX Gyre" w:hAnsi="DejaVu Math TeX Gyre"/>
              </w:rPr>
              <m:t>i,j</m:t>
            </m:r>
          </m:sub>
        </m:sSub>
      </m:oMath>
      <w:r w:rsidR="00482B47">
        <w:t xml:space="preserve"> is usually modeled as a combination (either summation or product) of a determi</w:t>
      </w:r>
      <w:r w:rsidR="002F7E35">
        <w:t xml:space="preserve">nistic pattern term that depends on incident/scattering angles and a random term whose probability density function may or may not be dependent on the first deterministic term. It is not a common case to model  </w:t>
      </w:r>
      <m:oMath>
        <m:sSub>
          <m:sSubPr>
            <m:ctrlPr>
              <w:rPr>
                <w:rFonts w:ascii="DejaVu Math TeX Gyre" w:hAnsi="DejaVu Math TeX Gyre"/>
                <w:i/>
              </w:rPr>
            </m:ctrlPr>
          </m:sSubPr>
          <m:e>
            <m:r>
              <w:rPr>
                <w:rFonts w:ascii="DejaVu Math TeX Gyre" w:hAnsi="DejaVu Math TeX Gyre"/>
              </w:rPr>
              <m:t>RCS</m:t>
            </m:r>
          </m:e>
          <m:sub>
            <m:r>
              <w:rPr>
                <w:rFonts w:ascii="DejaVu Math TeX Gyre" w:hAnsi="DejaVu Math TeX Gyre"/>
              </w:rPr>
              <m:t>i,j</m:t>
            </m:r>
          </m:sub>
        </m:sSub>
      </m:oMath>
      <w:r w:rsidR="002F7E35">
        <w:t xml:space="preserve"> as a constant value. </w:t>
      </w:r>
    </w:p>
    <w:p w:rsidR="004F1D5F" w:rsidRDefault="005E4BF4" w:rsidP="005E4BF4">
      <w:pPr>
        <w:rPr>
          <w:szCs w:val="20"/>
        </w:rPr>
      </w:pPr>
      <w:r>
        <w:t xml:space="preserve">It can be also observed that the complexity reduction scheme (if any) would have impact to the derivation of A and </w:t>
      </w:r>
      <m:oMath>
        <m:sSub>
          <m:sSubPr>
            <m:ctrlPr>
              <w:rPr>
                <w:rFonts w:ascii="DejaVu Math TeX Gyre" w:hAnsi="DejaVu Math TeX Gyre"/>
                <w:i/>
                <w:szCs w:val="20"/>
              </w:rPr>
            </m:ctrlPr>
          </m:sSubPr>
          <m:e>
            <m:r>
              <w:rPr>
                <w:rFonts w:ascii="Cambria Math" w:hAnsi="Cambria Math"/>
                <w:szCs w:val="20"/>
              </w:rPr>
              <m:t>B</m:t>
            </m:r>
          </m:e>
          <m:sub>
            <m:r>
              <w:rPr>
                <w:rFonts w:ascii="DejaVu Math TeX Gyre" w:hAnsi="DejaVu Math TeX Gyre"/>
                <w:szCs w:val="20"/>
              </w:rPr>
              <m:t>i,j</m:t>
            </m:r>
          </m:sub>
        </m:sSub>
      </m:oMath>
      <w:r>
        <w:rPr>
          <w:szCs w:val="20"/>
        </w:rPr>
        <w:t xml:space="preserve">. </w:t>
      </w:r>
    </w:p>
    <w:p w:rsidR="005E4BF4" w:rsidRPr="00A7711E" w:rsidRDefault="005E4BF4" w:rsidP="005E4BF4">
      <w:pPr>
        <w:rPr>
          <w:b/>
          <w:i/>
          <w:szCs w:val="20"/>
        </w:rPr>
      </w:pPr>
      <w:r w:rsidRPr="00A7711E">
        <w:rPr>
          <w:b/>
          <w:i/>
          <w:szCs w:val="20"/>
        </w:rPr>
        <w:t xml:space="preserve">Proposal 1: </w:t>
      </w:r>
      <w:r w:rsidR="002F7E35">
        <w:rPr>
          <w:b/>
          <w:i/>
          <w:szCs w:val="20"/>
        </w:rPr>
        <w:t>If RAN1 #118 working assumption is to be confirmed, t</w:t>
      </w:r>
      <w:r w:rsidRPr="00A7711E">
        <w:rPr>
          <w:b/>
          <w:i/>
          <w:szCs w:val="20"/>
        </w:rPr>
        <w:t>he RCS impacts to large-scale fading and small-scale fading of a target channel are formulated as</w:t>
      </w:r>
    </w:p>
    <w:p w:rsidR="005E4BF4" w:rsidRPr="00BD4F9D" w:rsidRDefault="00000000" w:rsidP="005E4BF4">
      <w:pPr>
        <w:rPr>
          <w:b/>
          <w:i/>
          <w:szCs w:val="20"/>
        </w:rPr>
      </w:pPr>
      <m:oMathPara>
        <m:oMath>
          <m:m>
            <m:mPr>
              <m:cGp m:val="8"/>
              <m:mcs>
                <m:mc>
                  <m:mcPr>
                    <m:count m:val="1"/>
                    <m:mcJc m:val="left"/>
                  </m:mcPr>
                </m:mc>
              </m:mcs>
              <m:ctrlPr>
                <w:rPr>
                  <w:rFonts w:ascii="Cambria Math" w:hAnsi="Cambria Math"/>
                  <w:b/>
                  <w:i/>
                  <w:szCs w:val="20"/>
                </w:rPr>
              </m:ctrlPr>
            </m:mPr>
            <m:mr>
              <m:e>
                <m:r>
                  <m:rPr>
                    <m:sty m:val="bi"/>
                  </m:rPr>
                  <w:rPr>
                    <w:rFonts w:ascii="Cambria Math" w:eastAsia="SimSun" w:hAnsi="Cambria Math"/>
                    <w:lang w:eastAsia="zh-CN"/>
                  </w:rPr>
                  <m:t>A=</m:t>
                </m:r>
                <m:nary>
                  <m:naryPr>
                    <m:chr m:val="∑"/>
                    <m:limLoc m:val="undOvr"/>
                    <m:supHide m:val="1"/>
                    <m:ctrlPr>
                      <w:rPr>
                        <w:rFonts w:ascii="Cambria Math" w:hAnsi="Cambria Math"/>
                        <w:b/>
                        <w:i/>
                      </w:rPr>
                    </m:ctrlPr>
                  </m:naryPr>
                  <m:sub>
                    <m:r>
                      <m:rPr>
                        <m:sty m:val="bi"/>
                      </m:rPr>
                      <w:rPr>
                        <w:rFonts w:ascii="Cambria Math" w:hAnsi="Cambria Math"/>
                      </w:rPr>
                      <m:t>i</m:t>
                    </m:r>
                  </m:sub>
                  <m:sup/>
                  <m:e>
                    <m:nary>
                      <m:naryPr>
                        <m:chr m:val="∑"/>
                        <m:limLoc m:val="undOvr"/>
                        <m:supHide m:val="1"/>
                        <m:ctrlPr>
                          <w:rPr>
                            <w:rFonts w:ascii="Cambria Math" w:hAnsi="Cambria Math"/>
                            <w:b/>
                            <w:i/>
                          </w:rPr>
                        </m:ctrlPr>
                      </m:naryPr>
                      <m:sub>
                        <m:r>
                          <m:rPr>
                            <m:sty m:val="bi"/>
                          </m:rPr>
                          <w:rPr>
                            <w:rFonts w:ascii="Cambria Math" w:hAnsi="Cambria Math"/>
                          </w:rPr>
                          <m:t>j</m:t>
                        </m:r>
                      </m:sub>
                      <m:sup/>
                      <m:e>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1,i</m:t>
                            </m:r>
                          </m:sub>
                        </m:sSub>
                        <m:sSub>
                          <m:sSubPr>
                            <m:ctrlPr>
                              <w:rPr>
                                <w:rFonts w:ascii="Cambria Math" w:hAnsi="Cambria Math"/>
                                <w:b/>
                                <w:i/>
                              </w:rPr>
                            </m:ctrlPr>
                          </m:sSubPr>
                          <m:e>
                            <m:r>
                              <m:rPr>
                                <m:sty m:val="bi"/>
                              </m:rPr>
                              <w:rPr>
                                <w:rFonts w:ascii="Cambria Math" w:hAnsi="Cambria Math"/>
                              </w:rPr>
                              <m:t>RCS</m:t>
                            </m:r>
                          </m:e>
                          <m:sub>
                            <m:r>
                              <m:rPr>
                                <m:sty m:val="bi"/>
                              </m:rPr>
                              <w:rPr>
                                <w:rFonts w:ascii="Cambria Math" w:hAnsi="Cambria Math"/>
                              </w:rPr>
                              <m:t>i,j</m:t>
                            </m:r>
                          </m:sub>
                        </m:sSub>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2,j</m:t>
                            </m:r>
                          </m:sub>
                        </m:sSub>
                      </m:e>
                    </m:nary>
                  </m:e>
                </m:nary>
              </m:e>
            </m:mr>
            <m:mr>
              <m:e>
                <m:sSub>
                  <m:sSubPr>
                    <m:ctrlPr>
                      <w:rPr>
                        <w:rFonts w:ascii="Cambria Math" w:hAnsi="Cambria Math"/>
                        <w:b/>
                        <w:i/>
                        <w:szCs w:val="20"/>
                      </w:rPr>
                    </m:ctrlPr>
                  </m:sSubPr>
                  <m:e>
                    <m:r>
                      <m:rPr>
                        <m:sty m:val="bi"/>
                      </m:rPr>
                      <w:rPr>
                        <w:rFonts w:ascii="Cambria Math" w:hAnsi="Cambria Math"/>
                        <w:szCs w:val="20"/>
                      </w:rPr>
                      <m:t>B</m:t>
                    </m:r>
                  </m:e>
                  <m:sub>
                    <m:r>
                      <m:rPr>
                        <m:sty m:val="bi"/>
                      </m:rPr>
                      <w:rPr>
                        <w:rFonts w:ascii="Cambria Math" w:hAnsi="Cambria Math"/>
                        <w:szCs w:val="20"/>
                      </w:rPr>
                      <m:t>i,j</m:t>
                    </m:r>
                  </m:sub>
                </m:sSub>
                <m:r>
                  <m:rPr>
                    <m:sty m:val="bi"/>
                  </m:rPr>
                  <w:rPr>
                    <w:rFonts w:ascii="Cambria Math" w:hAnsi="DejaVu Math TeX Gyre"/>
                    <w:szCs w:val="20"/>
                  </w:rPr>
                  <m:t>=</m:t>
                </m:r>
                <m:f>
                  <m:fPr>
                    <m:ctrlPr>
                      <w:rPr>
                        <w:rFonts w:ascii="Cambria Math" w:hAnsi="DejaVu Math TeX Gyre"/>
                        <w:b/>
                        <w:i/>
                        <w:szCs w:val="20"/>
                      </w:rPr>
                    </m:ctrlPr>
                  </m:fPr>
                  <m:num>
                    <m:sSub>
                      <m:sSubPr>
                        <m:ctrlPr>
                          <w:rPr>
                            <w:rFonts w:ascii="Cambria Math" w:hAnsi="Cambria Math"/>
                            <w:b/>
                            <w:i/>
                          </w:rPr>
                        </m:ctrlPr>
                      </m:sSubPr>
                      <m:e>
                        <m:r>
                          <m:rPr>
                            <m:sty m:val="bi"/>
                          </m:rPr>
                          <w:rPr>
                            <w:rFonts w:ascii="Cambria Math" w:hAnsi="Cambria Math"/>
                          </w:rPr>
                          <m:t>RCS</m:t>
                        </m:r>
                      </m:e>
                      <m:sub>
                        <m:r>
                          <m:rPr>
                            <m:sty m:val="bi"/>
                          </m:rPr>
                          <w:rPr>
                            <w:rFonts w:ascii="Cambria Math" w:hAnsi="Cambria Math"/>
                          </w:rPr>
                          <m:t>i,j</m:t>
                        </m:r>
                      </m:sub>
                    </m:sSub>
                  </m:num>
                  <m:den>
                    <m:nary>
                      <m:naryPr>
                        <m:chr m:val="∑"/>
                        <m:limLoc m:val="undOvr"/>
                        <m:supHide m:val="1"/>
                        <m:ctrlPr>
                          <w:rPr>
                            <w:rFonts w:ascii="Cambria Math" w:hAnsi="Cambria Math"/>
                            <w:b/>
                            <w:i/>
                          </w:rPr>
                        </m:ctrlPr>
                      </m:naryPr>
                      <m:sub>
                        <m:r>
                          <m:rPr>
                            <m:sty m:val="bi"/>
                          </m:rPr>
                          <w:rPr>
                            <w:rFonts w:ascii="Cambria Math" w:hAnsi="Cambria Math"/>
                          </w:rPr>
                          <m:t>k</m:t>
                        </m:r>
                      </m:sub>
                      <m:sup/>
                      <m:e>
                        <m:nary>
                          <m:naryPr>
                            <m:chr m:val="∑"/>
                            <m:limLoc m:val="undOvr"/>
                            <m:supHide m:val="1"/>
                            <m:ctrlPr>
                              <w:rPr>
                                <w:rFonts w:ascii="Cambria Math" w:hAnsi="Cambria Math"/>
                                <w:b/>
                                <w:i/>
                              </w:rPr>
                            </m:ctrlPr>
                          </m:naryPr>
                          <m:sub>
                            <m:r>
                              <m:rPr>
                                <m:sty m:val="bi"/>
                              </m:rPr>
                              <w:rPr>
                                <w:rFonts w:ascii="Cambria Math" w:hAnsi="Cambria Math"/>
                              </w:rPr>
                              <m:t>l</m:t>
                            </m:r>
                          </m:sub>
                          <m:sup/>
                          <m:e>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1,k</m:t>
                                </m:r>
                              </m:sub>
                            </m:sSub>
                            <m:sSub>
                              <m:sSubPr>
                                <m:ctrlPr>
                                  <w:rPr>
                                    <w:rFonts w:ascii="Cambria Math" w:hAnsi="Cambria Math"/>
                                    <w:b/>
                                    <w:i/>
                                  </w:rPr>
                                </m:ctrlPr>
                              </m:sSubPr>
                              <m:e>
                                <m:r>
                                  <m:rPr>
                                    <m:sty m:val="bi"/>
                                  </m:rPr>
                                  <w:rPr>
                                    <w:rFonts w:ascii="Cambria Math" w:hAnsi="Cambria Math"/>
                                  </w:rPr>
                                  <m:t>RCS</m:t>
                                </m:r>
                              </m:e>
                              <m:sub>
                                <m:r>
                                  <m:rPr>
                                    <m:sty m:val="bi"/>
                                  </m:rPr>
                                  <w:rPr>
                                    <w:rFonts w:ascii="Cambria Math" w:hAnsi="Cambria Math"/>
                                  </w:rPr>
                                  <m:t>k,l</m:t>
                                </m:r>
                              </m:sub>
                            </m:sSub>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2,l</m:t>
                                </m:r>
                              </m:sub>
                            </m:sSub>
                          </m:e>
                        </m:nary>
                      </m:e>
                    </m:nary>
                  </m:den>
                </m:f>
              </m:e>
            </m:mr>
          </m:m>
        </m:oMath>
      </m:oMathPara>
    </w:p>
    <w:p w:rsidR="005E4BF4" w:rsidRPr="00A7711E" w:rsidRDefault="005E4BF4" w:rsidP="005E4BF4">
      <w:pPr>
        <w:rPr>
          <w:b/>
          <w:i/>
          <w:szCs w:val="20"/>
        </w:rPr>
      </w:pPr>
      <w:r w:rsidRPr="00A7711E">
        <w:rPr>
          <w:b/>
          <w:i/>
          <w:szCs w:val="20"/>
        </w:rPr>
        <w:t xml:space="preserve">where </w:t>
      </w:r>
    </w:p>
    <w:p w:rsidR="005E4BF4" w:rsidRPr="00A7711E" w:rsidRDefault="00000000" w:rsidP="005E4BF4">
      <w:pPr>
        <w:pStyle w:val="ListParagraph"/>
        <w:numPr>
          <w:ilvl w:val="0"/>
          <w:numId w:val="20"/>
        </w:numPr>
        <w:ind w:leftChars="0"/>
        <w:rPr>
          <w:b/>
          <w:i/>
          <w:sz w:val="20"/>
        </w:rPr>
      </w:pPr>
      <m:oMath>
        <m:sSub>
          <m:sSubPr>
            <m:ctrlPr>
              <w:rPr>
                <w:rFonts w:ascii="Cambria Math" w:hAnsi="Cambria Math"/>
                <w:b/>
                <w:i/>
                <w:sz w:val="20"/>
              </w:rPr>
            </m:ctrlPr>
          </m:sSubPr>
          <m:e>
            <m:r>
              <m:rPr>
                <m:sty m:val="bi"/>
              </m:rPr>
              <w:rPr>
                <w:rFonts w:ascii="Cambria Math" w:hAnsi="Cambria Math"/>
                <w:sz w:val="20"/>
              </w:rPr>
              <m:t>p</m:t>
            </m:r>
          </m:e>
          <m:sub>
            <m:r>
              <m:rPr>
                <m:sty m:val="bi"/>
              </m:rPr>
              <w:rPr>
                <w:rFonts w:ascii="Cambria Math" w:hAnsi="Cambria Math"/>
                <w:sz w:val="20"/>
              </w:rPr>
              <m:t>1,i</m:t>
            </m:r>
          </m:sub>
        </m:sSub>
      </m:oMath>
      <w:r w:rsidR="005E4BF4" w:rsidRPr="00A7711E">
        <w:rPr>
          <w:b/>
          <w:i/>
          <w:sz w:val="20"/>
        </w:rPr>
        <w:t xml:space="preserve"> is the small-scale power of i-th incident cluster/ray on Tx-target link, and </w:t>
      </w:r>
      <m:oMath>
        <m:sSub>
          <m:sSubPr>
            <m:ctrlPr>
              <w:rPr>
                <w:rFonts w:ascii="Cambria Math" w:hAnsi="Cambria Math"/>
                <w:b/>
                <w:i/>
                <w:sz w:val="20"/>
              </w:rPr>
            </m:ctrlPr>
          </m:sSubPr>
          <m:e>
            <m:r>
              <m:rPr>
                <m:sty m:val="bi"/>
              </m:rPr>
              <w:rPr>
                <w:rFonts w:ascii="Cambria Math" w:hAnsi="Cambria Math"/>
                <w:sz w:val="20"/>
              </w:rPr>
              <m:t>p</m:t>
            </m:r>
          </m:e>
          <m:sub>
            <m:r>
              <m:rPr>
                <m:sty m:val="bi"/>
              </m:rPr>
              <w:rPr>
                <w:rFonts w:ascii="Cambria Math" w:hAnsi="Cambria Math"/>
                <w:sz w:val="20"/>
              </w:rPr>
              <m:t>2,j</m:t>
            </m:r>
          </m:sub>
        </m:sSub>
      </m:oMath>
      <w:r w:rsidR="005E4BF4" w:rsidRPr="00A7711E">
        <w:rPr>
          <w:b/>
          <w:i/>
          <w:sz w:val="20"/>
        </w:rPr>
        <w:t xml:space="preserve"> is the sm</w:t>
      </w:r>
      <w:r w:rsidR="00B9548F" w:rsidRPr="00A7711E">
        <w:rPr>
          <w:b/>
          <w:i/>
          <w:sz w:val="20"/>
        </w:rPr>
        <w:t>all-scale power of j-th scattering</w:t>
      </w:r>
      <w:r w:rsidR="005E4BF4" w:rsidRPr="00A7711E">
        <w:rPr>
          <w:b/>
          <w:i/>
          <w:sz w:val="20"/>
        </w:rPr>
        <w:t xml:space="preserve"> cluster/ray on target-Rx link.</w:t>
      </w:r>
    </w:p>
    <w:p w:rsidR="005E4BF4" w:rsidRPr="00A7711E" w:rsidRDefault="00000000" w:rsidP="005E4BF4">
      <w:pPr>
        <w:pStyle w:val="ListParagraph"/>
        <w:numPr>
          <w:ilvl w:val="0"/>
          <w:numId w:val="20"/>
        </w:numPr>
        <w:ind w:leftChars="0"/>
        <w:rPr>
          <w:b/>
          <w:i/>
          <w:sz w:val="20"/>
        </w:rPr>
      </w:pPr>
      <m:oMath>
        <m:sSub>
          <m:sSubPr>
            <m:ctrlPr>
              <w:rPr>
                <w:rFonts w:ascii="Cambria Math" w:hAnsi="Cambria Math"/>
                <w:b/>
                <w:i/>
                <w:sz w:val="20"/>
              </w:rPr>
            </m:ctrlPr>
          </m:sSubPr>
          <m:e>
            <m:r>
              <m:rPr>
                <m:sty m:val="bi"/>
              </m:rPr>
              <w:rPr>
                <w:rFonts w:ascii="Cambria Math" w:hAnsi="Cambria Math"/>
                <w:sz w:val="20"/>
              </w:rPr>
              <m:t>RCS</m:t>
            </m:r>
          </m:e>
          <m:sub>
            <m:r>
              <m:rPr>
                <m:sty m:val="bi"/>
              </m:rPr>
              <w:rPr>
                <w:rFonts w:ascii="Cambria Math" w:hAnsi="Cambria Math"/>
                <w:sz w:val="20"/>
              </w:rPr>
              <m:t>i,j</m:t>
            </m:r>
          </m:sub>
        </m:sSub>
      </m:oMath>
      <w:r w:rsidR="00B9548F" w:rsidRPr="00A7711E">
        <w:rPr>
          <w:b/>
          <w:i/>
          <w:sz w:val="20"/>
        </w:rPr>
        <w:t xml:space="preserve"> is the RCS of target corresponding to the i-th incident cluster/ray and j-th scattering cluster/ray.  </w:t>
      </w:r>
    </w:p>
    <w:p w:rsidR="00440CAD" w:rsidRPr="00A7711E" w:rsidRDefault="00440CAD">
      <w:pPr>
        <w:rPr>
          <w:szCs w:val="20"/>
        </w:rPr>
      </w:pPr>
    </w:p>
    <w:p w:rsidR="00440CAD" w:rsidRDefault="00697913">
      <w:pPr>
        <w:rPr>
          <w:b/>
          <w:i/>
          <w:iCs/>
          <w:u w:val="single"/>
        </w:rPr>
      </w:pPr>
      <w:r>
        <w:rPr>
          <w:b/>
          <w:i/>
          <w:iCs/>
          <w:u w:val="single"/>
        </w:rPr>
        <w:lastRenderedPageBreak/>
        <w:t>Modeling of Type-1 EO</w:t>
      </w:r>
    </w:p>
    <w:p w:rsidR="00440CAD" w:rsidRDefault="00C93333">
      <w:pPr>
        <w:rPr>
          <w:bCs/>
        </w:rPr>
      </w:pPr>
      <w:r>
        <w:rPr>
          <w:bCs/>
        </w:rPr>
        <w:t xml:space="preserve">Because Type-1 EO is mostly motivated to support evaluation of differentiating a sensing target from a similar environment object that has the comparable size/shape as the sensing target, the modeling of Tx-EO1-Rx channel should follow the same methodology as modeling of Tx-target-Rx and the object modeling of EO1 itself should also share the same methodology of that for a sensing object. </w:t>
      </w:r>
      <w:r w:rsidR="00697913">
        <w:rPr>
          <w:bCs/>
        </w:rPr>
        <w:t xml:space="preserve"> </w:t>
      </w:r>
    </w:p>
    <w:p w:rsidR="00003A8F" w:rsidRPr="00003A8F" w:rsidRDefault="00003A8F" w:rsidP="00003A8F">
      <w:pPr>
        <w:spacing w:after="120"/>
        <w:rPr>
          <w:b/>
          <w:bCs/>
          <w:i/>
          <w:szCs w:val="20"/>
        </w:rPr>
      </w:pPr>
      <w:r w:rsidRPr="00003A8F">
        <w:rPr>
          <w:b/>
          <w:bCs/>
          <w:i/>
          <w:szCs w:val="20"/>
        </w:rPr>
        <w:t xml:space="preserve">Proposal 2: Both the modeling of Type-1 EO </w:t>
      </w:r>
      <w:r w:rsidR="002F7E35">
        <w:rPr>
          <w:b/>
          <w:bCs/>
          <w:i/>
          <w:szCs w:val="20"/>
        </w:rPr>
        <w:t xml:space="preserve">itself </w:t>
      </w:r>
      <w:r w:rsidRPr="00003A8F">
        <w:rPr>
          <w:b/>
          <w:bCs/>
          <w:i/>
          <w:szCs w:val="20"/>
        </w:rPr>
        <w:t xml:space="preserve">and the modeling of Tx-EO1-Rx channel follow the same methodologies of those for a sensing target and Tx-target-Rx channel. </w:t>
      </w:r>
    </w:p>
    <w:p w:rsidR="00003A8F" w:rsidRPr="00003A8F" w:rsidRDefault="00003A8F" w:rsidP="00003A8F">
      <w:pPr>
        <w:pStyle w:val="ListParagraph"/>
        <w:numPr>
          <w:ilvl w:val="0"/>
          <w:numId w:val="21"/>
        </w:numPr>
        <w:spacing w:after="120" w:line="276" w:lineRule="auto"/>
        <w:ind w:leftChars="0"/>
        <w:rPr>
          <w:b/>
          <w:bCs/>
          <w:i/>
          <w:sz w:val="20"/>
        </w:rPr>
      </w:pPr>
      <w:r w:rsidRPr="00003A8F">
        <w:rPr>
          <w:b/>
          <w:bCs/>
          <w:i/>
          <w:sz w:val="20"/>
        </w:rPr>
        <w:t xml:space="preserve">It is sufficient for ISAC channel model methodology to leave placeholders for RCS properties of Type-1 EO or to just give informational RCS values for Type-1 EO.  </w:t>
      </w:r>
    </w:p>
    <w:p w:rsidR="009119AA" w:rsidRPr="009119AA" w:rsidRDefault="009119AA" w:rsidP="009119AA">
      <w:pPr>
        <w:pStyle w:val="Heading2"/>
        <w:numPr>
          <w:ilvl w:val="1"/>
          <w:numId w:val="1"/>
        </w:numPr>
        <w:spacing w:before="120" w:after="120"/>
        <w:ind w:left="619" w:hanging="619"/>
        <w:rPr>
          <w:rFonts w:ascii="Times New Roman" w:hAnsi="Times New Roman" w:cs="Times New Roman"/>
        </w:rPr>
      </w:pPr>
      <w:r w:rsidRPr="009119AA">
        <w:rPr>
          <w:rFonts w:ascii="Times New Roman" w:hAnsi="Times New Roman" w:cs="Times New Roman"/>
          <w:bCs w:val="0"/>
        </w:rPr>
        <w:t>Target channel modeling</w:t>
      </w:r>
    </w:p>
    <w:p w:rsidR="00440CAD" w:rsidRDefault="0039677B">
      <w:pPr>
        <w:rPr>
          <w:b/>
          <w:i/>
          <w:iCs/>
          <w:u w:val="single"/>
        </w:rPr>
      </w:pPr>
      <w:r>
        <w:rPr>
          <w:b/>
          <w:i/>
          <w:iCs/>
          <w:u w:val="single"/>
        </w:rPr>
        <w:t>LOS ray mode</w:t>
      </w:r>
      <w:r w:rsidR="00697913">
        <w:rPr>
          <w:b/>
          <w:i/>
          <w:iCs/>
          <w:u w:val="single"/>
        </w:rPr>
        <w:t>ling: deterministic free-space modeling vs. Stochastic 38.901 modeling</w:t>
      </w:r>
    </w:p>
    <w:p w:rsidR="00440CAD" w:rsidRDefault="00E30A4C">
      <w:pPr>
        <w:rPr>
          <w:bCs/>
        </w:rPr>
      </w:pPr>
      <w:r>
        <w:rPr>
          <w:bCs/>
        </w:rPr>
        <w:t xml:space="preserve">LOS propagation, if existing, plays an important or even dominant </w:t>
      </w:r>
      <w:r w:rsidR="00EA5A4D">
        <w:rPr>
          <w:bCs/>
        </w:rPr>
        <w:t xml:space="preserve">contribution to sensing performance. In radar theorem, the </w:t>
      </w:r>
      <w:r w:rsidR="00F9320C">
        <w:rPr>
          <w:bCs/>
        </w:rPr>
        <w:t>power of LOS propagation</w:t>
      </w:r>
      <w:r w:rsidR="00EA5A4D">
        <w:rPr>
          <w:bCs/>
        </w:rPr>
        <w:t xml:space="preserve"> is the basis of some key detection theorem such as</w:t>
      </w:r>
      <w:r w:rsidR="00F9320C">
        <w:rPr>
          <w:bCs/>
        </w:rPr>
        <w:t xml:space="preserve"> “Ovals of Cassini” contours of constant SNR. The using of deterministic free-space propagation would give more reliable and repeatable evaluation results for those power-related detection schemes, because the stochastic modeling </w:t>
      </w:r>
      <w:r w:rsidR="005E0821">
        <w:rPr>
          <w:bCs/>
        </w:rPr>
        <w:t>of LOS, such as the one in 38.901, is built upon the statistically variables of large-scale fading and K</w:t>
      </w:r>
      <w:r w:rsidR="005E0821" w:rsidRPr="005E0821">
        <w:rPr>
          <w:bCs/>
          <w:vertAlign w:val="subscript"/>
        </w:rPr>
        <w:t>R</w:t>
      </w:r>
      <w:r w:rsidR="005E0821">
        <w:rPr>
          <w:bCs/>
        </w:rPr>
        <w:t xml:space="preserve"> factor. </w:t>
      </w:r>
      <w:r w:rsidR="00EA5A4D">
        <w:rPr>
          <w:bCs/>
        </w:rPr>
        <w:t xml:space="preserve"> </w:t>
      </w:r>
      <w:r w:rsidR="005E0821">
        <w:rPr>
          <w:bCs/>
        </w:rPr>
        <w:t xml:space="preserve">However, the </w:t>
      </w:r>
      <w:r w:rsidR="00D2027B">
        <w:rPr>
          <w:bCs/>
        </w:rPr>
        <w:t xml:space="preserve">RAN1 agreement of having concatenation of Tx-target link and target-Rx link drives the separate modeling of the two links. Then, for each of Tx-target link and target-Rx link, as pointed out in </w:t>
      </w:r>
      <w:r w:rsidR="003D2D85">
        <w:rPr>
          <w:bCs/>
        </w:rPr>
        <w:fldChar w:fldCharType="begin"/>
      </w:r>
      <w:r w:rsidR="0083692E">
        <w:rPr>
          <w:bCs/>
        </w:rPr>
        <w:instrText xml:space="preserve"> REF _Ref178691920 \r \h </w:instrText>
      </w:r>
      <w:r w:rsidR="003D2D85">
        <w:rPr>
          <w:bCs/>
        </w:rPr>
      </w:r>
      <w:r w:rsidR="003D2D85">
        <w:rPr>
          <w:bCs/>
        </w:rPr>
        <w:fldChar w:fldCharType="separate"/>
      </w:r>
      <w:r w:rsidR="0083692E">
        <w:rPr>
          <w:bCs/>
        </w:rPr>
        <w:t>[6]</w:t>
      </w:r>
      <w:r w:rsidR="003D2D85">
        <w:rPr>
          <w:bCs/>
        </w:rPr>
        <w:fldChar w:fldCharType="end"/>
      </w:r>
      <w:r w:rsidR="0083692E">
        <w:rPr>
          <w:bCs/>
        </w:rPr>
        <w:t xml:space="preserve">, there are cases, depending on propagation distance, where the free-space formula gives smaller pathloss value than the stochastic pathloss formula defined for LOS+NLOS in 38.901, which leads to a self-contradicting observation that the LOS power </w:t>
      </w:r>
      <w:r w:rsidR="00DC7147">
        <w:rPr>
          <w:bCs/>
        </w:rPr>
        <w:t xml:space="preserve">(if modeled with free-space formula) is </w:t>
      </w:r>
      <w:r w:rsidR="0083692E">
        <w:rPr>
          <w:bCs/>
        </w:rPr>
        <w:t xml:space="preserve">even larger than LOS+NLOS </w:t>
      </w:r>
      <w:r w:rsidR="00DC7147">
        <w:rPr>
          <w:bCs/>
        </w:rPr>
        <w:t xml:space="preserve">total </w:t>
      </w:r>
      <w:r w:rsidR="0083692E">
        <w:rPr>
          <w:bCs/>
        </w:rPr>
        <w:t xml:space="preserve">power. </w:t>
      </w:r>
    </w:p>
    <w:p w:rsidR="00DC7147" w:rsidRPr="00CD711E" w:rsidRDefault="00DC7147" w:rsidP="00CD711E">
      <w:pPr>
        <w:spacing w:after="120"/>
        <w:rPr>
          <w:b/>
          <w:bCs/>
          <w:i/>
          <w:szCs w:val="20"/>
        </w:rPr>
      </w:pPr>
      <w:r w:rsidRPr="00CD711E">
        <w:rPr>
          <w:b/>
          <w:bCs/>
          <w:i/>
          <w:szCs w:val="20"/>
        </w:rPr>
        <w:t xml:space="preserve">Observation 1: There is a dilemma in whether to use free-space propagation formula to model LOS. </w:t>
      </w:r>
    </w:p>
    <w:p w:rsidR="00D47FC9" w:rsidRPr="00CD711E" w:rsidRDefault="00DC7147" w:rsidP="00CD711E">
      <w:pPr>
        <w:pStyle w:val="ListParagraph"/>
        <w:numPr>
          <w:ilvl w:val="0"/>
          <w:numId w:val="21"/>
        </w:numPr>
        <w:spacing w:after="120" w:line="276" w:lineRule="auto"/>
        <w:ind w:leftChars="0"/>
        <w:rPr>
          <w:b/>
          <w:bCs/>
          <w:i/>
          <w:sz w:val="20"/>
        </w:rPr>
      </w:pPr>
      <w:r w:rsidRPr="00CD711E">
        <w:rPr>
          <w:b/>
          <w:bCs/>
          <w:i/>
          <w:sz w:val="20"/>
        </w:rPr>
        <w:t xml:space="preserve">On one hand, free-space formula for LOS propagation is not fully compatible with existing RAN1 agreement </w:t>
      </w:r>
      <w:r w:rsidR="002F7E35">
        <w:rPr>
          <w:b/>
          <w:bCs/>
          <w:i/>
          <w:sz w:val="20"/>
        </w:rPr>
        <w:t>to have individual channel models, especially individual large-scale fading, on each of</w:t>
      </w:r>
      <w:r w:rsidRPr="00CD711E">
        <w:rPr>
          <w:b/>
          <w:bCs/>
          <w:i/>
          <w:sz w:val="20"/>
        </w:rPr>
        <w:t xml:space="preserve"> Tx</w:t>
      </w:r>
      <w:r w:rsidR="00D47FC9" w:rsidRPr="00CD711E">
        <w:rPr>
          <w:b/>
          <w:bCs/>
          <w:i/>
          <w:sz w:val="20"/>
        </w:rPr>
        <w:t>-target link and target-Rx link</w:t>
      </w:r>
      <w:r w:rsidRPr="00CD711E">
        <w:rPr>
          <w:b/>
          <w:bCs/>
          <w:i/>
          <w:sz w:val="20"/>
        </w:rPr>
        <w:t>.</w:t>
      </w:r>
    </w:p>
    <w:p w:rsidR="00D47FC9" w:rsidRPr="00CD711E" w:rsidRDefault="00D47FC9" w:rsidP="00CD711E">
      <w:pPr>
        <w:pStyle w:val="ListParagraph"/>
        <w:numPr>
          <w:ilvl w:val="0"/>
          <w:numId w:val="21"/>
        </w:numPr>
        <w:spacing w:after="120" w:line="276" w:lineRule="auto"/>
        <w:ind w:leftChars="0"/>
        <w:rPr>
          <w:b/>
          <w:bCs/>
          <w:i/>
          <w:sz w:val="20"/>
        </w:rPr>
      </w:pPr>
      <w:r w:rsidRPr="00CD711E">
        <w:rPr>
          <w:b/>
          <w:bCs/>
          <w:i/>
          <w:sz w:val="20"/>
        </w:rPr>
        <w:t xml:space="preserve">On the other hand, inability of using free-space formula for LOS propagation may create a negative evaluation </w:t>
      </w:r>
      <w:r w:rsidR="000355F3">
        <w:rPr>
          <w:b/>
          <w:bCs/>
          <w:i/>
          <w:sz w:val="20"/>
        </w:rPr>
        <w:t>restriction</w:t>
      </w:r>
      <w:r w:rsidRPr="00CD711E">
        <w:rPr>
          <w:b/>
          <w:bCs/>
          <w:i/>
          <w:sz w:val="20"/>
        </w:rPr>
        <w:t xml:space="preserve"> to sensing detection schemes, especially those depending on power of sensing signal. </w:t>
      </w:r>
    </w:p>
    <w:p w:rsidR="00D47FC9" w:rsidRDefault="00D47FC9" w:rsidP="00D47FC9">
      <w:pPr>
        <w:rPr>
          <w:bCs/>
        </w:rPr>
      </w:pPr>
      <w:r>
        <w:rPr>
          <w:bCs/>
        </w:rPr>
        <w:t xml:space="preserve">In our view, the channel modeling methodology should not generate limitations to sensing algorithms. Therefore, free-space propagation modeling for LOS should not be prevented. </w:t>
      </w:r>
      <w:r w:rsidR="00CD711E">
        <w:rPr>
          <w:bCs/>
        </w:rPr>
        <w:t>The solution to reduce incompatibility between free-space modeling of LOS and stochastic modeling of LOS+NLOS can be further studied, for example, by generating appropriate shadow fading values</w:t>
      </w:r>
      <w:r w:rsidR="002F7E35">
        <w:rPr>
          <w:bCs/>
        </w:rPr>
        <w:t xml:space="preserve"> if </w:t>
      </w:r>
      <w:r w:rsidR="00E46E00">
        <w:rPr>
          <w:bCs/>
        </w:rPr>
        <w:t>the shadow fading is needed on each of target channel</w:t>
      </w:r>
      <w:r w:rsidR="00CD711E">
        <w:rPr>
          <w:bCs/>
        </w:rPr>
        <w:t xml:space="preserve">.   </w:t>
      </w:r>
    </w:p>
    <w:p w:rsidR="00D47FC9" w:rsidRPr="00CD711E" w:rsidRDefault="00D47FC9" w:rsidP="00D47FC9">
      <w:pPr>
        <w:rPr>
          <w:b/>
          <w:bCs/>
          <w:i/>
        </w:rPr>
      </w:pPr>
      <w:r w:rsidRPr="00CD711E">
        <w:rPr>
          <w:b/>
          <w:bCs/>
          <w:i/>
        </w:rPr>
        <w:t xml:space="preserve">Proposal 3:  </w:t>
      </w:r>
      <w:r w:rsidR="00CD711E" w:rsidRPr="00CD711E">
        <w:rPr>
          <w:b/>
          <w:bCs/>
          <w:i/>
        </w:rPr>
        <w:t xml:space="preserve">Even though free-space modeling of LOS </w:t>
      </w:r>
      <w:r w:rsidR="008119A6">
        <w:rPr>
          <w:b/>
          <w:bCs/>
          <w:i/>
        </w:rPr>
        <w:t xml:space="preserve">ray </w:t>
      </w:r>
      <w:r w:rsidR="00CD711E" w:rsidRPr="00CD711E">
        <w:rPr>
          <w:b/>
          <w:bCs/>
          <w:i/>
        </w:rPr>
        <w:t xml:space="preserve">can be incompatible to stochastic pathloss formula for LOS+NLOS </w:t>
      </w:r>
      <w:r w:rsidR="008119A6">
        <w:rPr>
          <w:b/>
          <w:bCs/>
          <w:i/>
        </w:rPr>
        <w:t xml:space="preserve">rays </w:t>
      </w:r>
      <w:r w:rsidR="00CD711E" w:rsidRPr="00CD711E">
        <w:rPr>
          <w:b/>
          <w:bCs/>
          <w:i/>
        </w:rPr>
        <w:t xml:space="preserve">in some cases, the free-space formula for LOS propagation should be allowed.  </w:t>
      </w:r>
    </w:p>
    <w:p w:rsidR="00DC7147" w:rsidRPr="00DC7147" w:rsidRDefault="00DC7147" w:rsidP="00D47FC9">
      <w:pPr>
        <w:pStyle w:val="ListParagraph"/>
        <w:ind w:leftChars="0" w:left="720"/>
        <w:rPr>
          <w:bCs/>
        </w:rPr>
      </w:pPr>
      <w:r>
        <w:rPr>
          <w:bCs/>
        </w:rPr>
        <w:t xml:space="preserve"> </w:t>
      </w:r>
    </w:p>
    <w:p w:rsidR="00440CAD" w:rsidRDefault="00697913">
      <w:pPr>
        <w:rPr>
          <w:b/>
          <w:i/>
          <w:iCs/>
          <w:u w:val="single"/>
        </w:rPr>
      </w:pPr>
      <w:r>
        <w:rPr>
          <w:b/>
          <w:i/>
          <w:iCs/>
          <w:u w:val="single"/>
        </w:rPr>
        <w:t>LOS ray modeling: Number of direct paths per single scattering point</w:t>
      </w:r>
    </w:p>
    <w:p w:rsidR="00AB38CE" w:rsidRDefault="00FE4C86">
      <w:pPr>
        <w:rPr>
          <w:bCs/>
        </w:rPr>
      </w:pPr>
      <w:r>
        <w:rPr>
          <w:bCs/>
        </w:rPr>
        <w:t>It is observed in our ray-tracing simulation that the LOS scattering</w:t>
      </w:r>
      <w:r w:rsidR="00B53B40">
        <w:rPr>
          <w:bCs/>
        </w:rPr>
        <w:t>, which cannot be modeled as single LOS ray from Rx point of view,</w:t>
      </w:r>
      <w:r>
        <w:rPr>
          <w:bCs/>
        </w:rPr>
        <w:t xml:space="preserve"> can occur </w:t>
      </w:r>
      <w:r w:rsidR="00B53B40">
        <w:rPr>
          <w:bCs/>
        </w:rPr>
        <w:t xml:space="preserve">more often than LOS reflection that is normally treated as single LOS ray. Therefore we believe it is inappropriate to assume equality between direct LOS propagation and a single LOS ray. To simplify the LOS scattering modeling, we propose to split the single LOS reflection ray into M equal-power LOS rays, where the time delays of these LOS rays are the same as delay of the original LOS reflection ray and the angles of these LOS rays follow the same angle modeling </w:t>
      </w:r>
      <w:r w:rsidR="00A01FC5">
        <w:rPr>
          <w:bCs/>
        </w:rPr>
        <w:t xml:space="preserve">as in current 38.901 when a NLOS cluster is split into M rays, because the LOS+LOS ray in Tx-target-Rx path is exactly a NLOS </w:t>
      </w:r>
      <w:r w:rsidR="00AB38CE">
        <w:rPr>
          <w:bCs/>
        </w:rPr>
        <w:t xml:space="preserve">cluster from Tx-Rx channel perspective. </w:t>
      </w:r>
    </w:p>
    <w:p w:rsidR="00AB38CE" w:rsidRPr="00AB38CE" w:rsidRDefault="00AB38CE" w:rsidP="00AB38CE">
      <w:pPr>
        <w:spacing w:after="120"/>
        <w:rPr>
          <w:b/>
          <w:bCs/>
          <w:i/>
          <w:szCs w:val="20"/>
        </w:rPr>
      </w:pPr>
      <w:r w:rsidRPr="00AB38CE">
        <w:rPr>
          <w:b/>
          <w:bCs/>
          <w:i/>
          <w:szCs w:val="20"/>
        </w:rPr>
        <w:lastRenderedPageBreak/>
        <w:t>Proposal 4: LOS scattering can be modeled by splitting a single LOS ray after Tx-target and target-Rx concatenation into M rays, where</w:t>
      </w:r>
    </w:p>
    <w:p w:rsidR="00440CAD" w:rsidRPr="00AB38CE" w:rsidRDefault="00AB38CE" w:rsidP="00AB38CE">
      <w:pPr>
        <w:pStyle w:val="ListParagraph"/>
        <w:numPr>
          <w:ilvl w:val="0"/>
          <w:numId w:val="22"/>
        </w:numPr>
        <w:spacing w:after="120" w:line="276" w:lineRule="auto"/>
        <w:ind w:leftChars="0"/>
        <w:rPr>
          <w:b/>
          <w:bCs/>
          <w:i/>
          <w:sz w:val="20"/>
        </w:rPr>
      </w:pPr>
      <w:r w:rsidRPr="00AB38CE">
        <w:rPr>
          <w:b/>
          <w:bCs/>
          <w:i/>
          <w:sz w:val="20"/>
        </w:rPr>
        <w:t xml:space="preserve">Each of M rays has 1/M of power of original single LOS ray. </w:t>
      </w:r>
    </w:p>
    <w:p w:rsidR="00AB38CE" w:rsidRPr="00AB38CE" w:rsidRDefault="00AB38CE" w:rsidP="00AB38CE">
      <w:pPr>
        <w:pStyle w:val="ListParagraph"/>
        <w:numPr>
          <w:ilvl w:val="0"/>
          <w:numId w:val="22"/>
        </w:numPr>
        <w:spacing w:after="120" w:line="276" w:lineRule="auto"/>
        <w:ind w:leftChars="0"/>
        <w:rPr>
          <w:b/>
          <w:bCs/>
          <w:i/>
          <w:sz w:val="20"/>
        </w:rPr>
      </w:pPr>
      <w:r w:rsidRPr="00AB38CE">
        <w:rPr>
          <w:b/>
          <w:bCs/>
          <w:i/>
          <w:sz w:val="20"/>
        </w:rPr>
        <w:t xml:space="preserve">Each of M rays has the same time delay of original </w:t>
      </w:r>
      <w:r w:rsidR="00BD3B84">
        <w:rPr>
          <w:b/>
          <w:bCs/>
          <w:i/>
          <w:sz w:val="20"/>
        </w:rPr>
        <w:t xml:space="preserve">single </w:t>
      </w:r>
      <w:r w:rsidRPr="00AB38CE">
        <w:rPr>
          <w:b/>
          <w:bCs/>
          <w:i/>
          <w:sz w:val="20"/>
        </w:rPr>
        <w:t xml:space="preserve">LOS ray. </w:t>
      </w:r>
    </w:p>
    <w:p w:rsidR="00AB38CE" w:rsidRPr="00AB38CE" w:rsidRDefault="00AB38CE" w:rsidP="00AB38CE">
      <w:pPr>
        <w:pStyle w:val="ListParagraph"/>
        <w:numPr>
          <w:ilvl w:val="0"/>
          <w:numId w:val="22"/>
        </w:numPr>
        <w:spacing w:after="120" w:line="276" w:lineRule="auto"/>
        <w:ind w:leftChars="0"/>
        <w:rPr>
          <w:b/>
          <w:bCs/>
          <w:i/>
          <w:sz w:val="20"/>
        </w:rPr>
      </w:pPr>
      <w:r w:rsidRPr="00AB38CE">
        <w:rPr>
          <w:b/>
          <w:bCs/>
          <w:i/>
          <w:sz w:val="20"/>
        </w:rPr>
        <w:t xml:space="preserve">The angles on each of M rays follow the same modelling method used in current 38.901 to model departure/arrival angels of rays split from NLOS clusters. </w:t>
      </w:r>
    </w:p>
    <w:p w:rsidR="00AB38CE" w:rsidRPr="00AB38CE" w:rsidRDefault="00AB38CE" w:rsidP="00AB38CE">
      <w:pPr>
        <w:pStyle w:val="ListParagraph"/>
        <w:ind w:leftChars="0" w:left="856"/>
        <w:rPr>
          <w:bCs/>
        </w:rPr>
      </w:pPr>
      <w:r>
        <w:rPr>
          <w:bCs/>
        </w:rPr>
        <w:t xml:space="preserve">     </w:t>
      </w:r>
    </w:p>
    <w:p w:rsidR="00440CAD" w:rsidRDefault="00697913">
      <w:pPr>
        <w:rPr>
          <w:b/>
          <w:i/>
          <w:iCs/>
          <w:u w:val="single"/>
        </w:rPr>
      </w:pPr>
      <w:r>
        <w:rPr>
          <w:b/>
          <w:i/>
          <w:iCs/>
          <w:u w:val="single"/>
        </w:rPr>
        <w:t>Micro-Doppler modeling</w:t>
      </w:r>
    </w:p>
    <w:p w:rsidR="0088188B" w:rsidRDefault="00EC49F8">
      <w:pPr>
        <w:rPr>
          <w:bCs/>
        </w:rPr>
      </w:pPr>
      <w:r>
        <w:rPr>
          <w:bCs/>
        </w:rPr>
        <w:t xml:space="preserve">Micro-Doppler is a key </w:t>
      </w:r>
      <w:r w:rsidR="0046066F">
        <w:rPr>
          <w:bCs/>
        </w:rPr>
        <w:t xml:space="preserve">property that can be widely used in detection of existence of a sensing target and differentiation between a sensing target and an unwanted environmental object, given different objects can have different micro-Doppler signatures, as provided in </w:t>
      </w:r>
      <w:r w:rsidR="003D2D85">
        <w:rPr>
          <w:bCs/>
        </w:rPr>
        <w:fldChar w:fldCharType="begin"/>
      </w:r>
      <w:r w:rsidR="0046066F">
        <w:rPr>
          <w:bCs/>
        </w:rPr>
        <w:instrText xml:space="preserve"> REF _Ref178696608 \r \h </w:instrText>
      </w:r>
      <w:r w:rsidR="003D2D85">
        <w:rPr>
          <w:bCs/>
        </w:rPr>
      </w:r>
      <w:r w:rsidR="003D2D85">
        <w:rPr>
          <w:bCs/>
        </w:rPr>
        <w:fldChar w:fldCharType="separate"/>
      </w:r>
      <w:r w:rsidR="0046066F">
        <w:rPr>
          <w:bCs/>
        </w:rPr>
        <w:t>[5]</w:t>
      </w:r>
      <w:r w:rsidR="003D2D85">
        <w:rPr>
          <w:bCs/>
        </w:rPr>
        <w:fldChar w:fldCharType="end"/>
      </w:r>
      <w:r w:rsidR="003D2D85">
        <w:rPr>
          <w:bCs/>
        </w:rPr>
        <w:fldChar w:fldCharType="begin"/>
      </w:r>
      <w:r w:rsidR="0046066F">
        <w:rPr>
          <w:bCs/>
        </w:rPr>
        <w:instrText xml:space="preserve"> REF _Ref178691920 \r \h </w:instrText>
      </w:r>
      <w:r w:rsidR="003D2D85">
        <w:rPr>
          <w:bCs/>
        </w:rPr>
      </w:r>
      <w:r w:rsidR="003D2D85">
        <w:rPr>
          <w:bCs/>
        </w:rPr>
        <w:fldChar w:fldCharType="separate"/>
      </w:r>
      <w:r w:rsidR="0046066F">
        <w:rPr>
          <w:bCs/>
        </w:rPr>
        <w:t>[6]</w:t>
      </w:r>
      <w:r w:rsidR="003D2D85">
        <w:rPr>
          <w:bCs/>
        </w:rPr>
        <w:fldChar w:fldCharType="end"/>
      </w:r>
      <w:r w:rsidR="0046066F">
        <w:rPr>
          <w:bCs/>
        </w:rPr>
        <w:t xml:space="preserve">. Meanwhile, as a channel model methodology, the ISAC channel model does not need to, and also should not, restrict itself to a set of micro-Doppler functions for a limited number of </w:t>
      </w:r>
      <w:r w:rsidR="00217215">
        <w:rPr>
          <w:bCs/>
        </w:rPr>
        <w:t>sensing objects or unwanted objects</w:t>
      </w:r>
      <w:r w:rsidR="001227ED">
        <w:rPr>
          <w:bCs/>
        </w:rPr>
        <w:t xml:space="preserve">, although the informational examples could be helpful. Therefore, a generic placeholder </w:t>
      </w:r>
      <w:r w:rsidR="000E7BDD">
        <w:rPr>
          <w:bCs/>
        </w:rPr>
        <w:t xml:space="preserve">per ray-level </w:t>
      </w:r>
      <w:r w:rsidR="001227ED">
        <w:rPr>
          <w:bCs/>
        </w:rPr>
        <w:t xml:space="preserve">for micro-Doppler in the target channel CIR should be sufficient for Rel-19 ISAC channel model. </w:t>
      </w:r>
    </w:p>
    <w:p w:rsidR="000E7BDD" w:rsidRPr="000E7BDD" w:rsidRDefault="0088188B" w:rsidP="000E7BDD">
      <w:pPr>
        <w:spacing w:after="120"/>
        <w:rPr>
          <w:b/>
          <w:bCs/>
          <w:i/>
          <w:szCs w:val="20"/>
        </w:rPr>
      </w:pPr>
      <w:r w:rsidRPr="000E7BDD">
        <w:rPr>
          <w:b/>
          <w:bCs/>
          <w:i/>
          <w:szCs w:val="20"/>
        </w:rPr>
        <w:t xml:space="preserve">Proposal 5: A generic placeholder </w:t>
      </w:r>
      <w:r w:rsidR="000E7BDD" w:rsidRPr="000E7BDD">
        <w:rPr>
          <w:b/>
          <w:bCs/>
          <w:i/>
          <w:szCs w:val="20"/>
        </w:rPr>
        <w:t xml:space="preserve">per ray-level </w:t>
      </w:r>
      <w:r w:rsidRPr="000E7BDD">
        <w:rPr>
          <w:b/>
          <w:bCs/>
          <w:i/>
          <w:szCs w:val="20"/>
        </w:rPr>
        <w:t xml:space="preserve">is included in Tx-target-Rx channel impulse response </w:t>
      </w:r>
      <w:r w:rsidR="000E7BDD" w:rsidRPr="000E7BDD">
        <w:rPr>
          <w:b/>
          <w:bCs/>
          <w:i/>
          <w:szCs w:val="20"/>
        </w:rPr>
        <w:t xml:space="preserve">for modeling of micro-Doppler effect. </w:t>
      </w:r>
    </w:p>
    <w:p w:rsidR="00440CAD" w:rsidRPr="000E7BDD" w:rsidRDefault="000E7BDD" w:rsidP="000E7BDD">
      <w:pPr>
        <w:pStyle w:val="ListParagraph"/>
        <w:numPr>
          <w:ilvl w:val="0"/>
          <w:numId w:val="23"/>
        </w:numPr>
        <w:spacing w:after="120" w:line="276" w:lineRule="auto"/>
        <w:ind w:leftChars="0"/>
        <w:rPr>
          <w:b/>
          <w:bCs/>
          <w:i/>
          <w:sz w:val="20"/>
        </w:rPr>
      </w:pPr>
      <w:r w:rsidRPr="000E7BDD">
        <w:rPr>
          <w:b/>
          <w:bCs/>
          <w:i/>
          <w:sz w:val="20"/>
        </w:rPr>
        <w:t>Rel-19 ISAC channel model may provide informational examples of</w:t>
      </w:r>
      <w:r>
        <w:rPr>
          <w:b/>
          <w:bCs/>
          <w:i/>
          <w:sz w:val="20"/>
        </w:rPr>
        <w:t xml:space="preserve"> specific</w:t>
      </w:r>
      <w:r w:rsidRPr="000E7BDD">
        <w:rPr>
          <w:b/>
          <w:bCs/>
          <w:i/>
          <w:sz w:val="20"/>
        </w:rPr>
        <w:t xml:space="preserve"> micro-Doppler functions for interested sensing targets, but </w:t>
      </w:r>
      <w:r>
        <w:rPr>
          <w:b/>
          <w:bCs/>
          <w:i/>
          <w:sz w:val="20"/>
        </w:rPr>
        <w:t>does not have to</w:t>
      </w:r>
      <w:r w:rsidRPr="000E7BDD">
        <w:rPr>
          <w:b/>
          <w:bCs/>
          <w:i/>
          <w:sz w:val="20"/>
        </w:rPr>
        <w:t xml:space="preserve">. </w:t>
      </w:r>
    </w:p>
    <w:p w:rsidR="000E7BDD" w:rsidRPr="000E7BDD" w:rsidRDefault="000E7BDD" w:rsidP="000E7BDD">
      <w:pPr>
        <w:pStyle w:val="ListParagraph"/>
        <w:ind w:leftChars="0" w:left="856"/>
        <w:rPr>
          <w:bCs/>
        </w:rPr>
      </w:pPr>
    </w:p>
    <w:p w:rsidR="00440CAD" w:rsidRDefault="001A5FFD">
      <w:pPr>
        <w:numPr>
          <w:ilvl w:val="1"/>
          <w:numId w:val="1"/>
        </w:numPr>
        <w:rPr>
          <w:bCs/>
        </w:rPr>
      </w:pPr>
      <w:r>
        <w:rPr>
          <w:bCs/>
        </w:rPr>
        <w:t>Background channel mode</w:t>
      </w:r>
      <w:r w:rsidR="00697913">
        <w:rPr>
          <w:bCs/>
        </w:rPr>
        <w:t>ling</w:t>
      </w:r>
    </w:p>
    <w:p w:rsidR="00440CAD" w:rsidRDefault="00697913">
      <w:pPr>
        <w:rPr>
          <w:b/>
          <w:i/>
          <w:iCs/>
          <w:u w:val="single"/>
        </w:rPr>
      </w:pPr>
      <w:r>
        <w:rPr>
          <w:b/>
          <w:i/>
          <w:iCs/>
          <w:u w:val="single"/>
        </w:rPr>
        <w:t>Interactions between background channel and target channel(s)</w:t>
      </w:r>
      <w:r w:rsidR="00814F10">
        <w:rPr>
          <w:b/>
          <w:i/>
          <w:iCs/>
          <w:u w:val="single"/>
        </w:rPr>
        <w:t xml:space="preserve"> in bi-static geometry</w:t>
      </w:r>
      <w:r>
        <w:rPr>
          <w:b/>
          <w:i/>
          <w:iCs/>
          <w:u w:val="single"/>
        </w:rPr>
        <w:t>: Power normalization</w:t>
      </w:r>
    </w:p>
    <w:p w:rsidR="00440CAD" w:rsidRDefault="00814F10">
      <w:pPr>
        <w:rPr>
          <w:bCs/>
        </w:rPr>
      </w:pPr>
      <w:r>
        <w:rPr>
          <w:bCs/>
        </w:rPr>
        <w:t xml:space="preserve">The main motivation of power normalization over background channel and target channels is to maintain the same </w:t>
      </w:r>
      <w:r w:rsidR="0031606B">
        <w:rPr>
          <w:bCs/>
        </w:rPr>
        <w:t>communication channel gain and communication+sensing channel gain. In general, three optio</w:t>
      </w:r>
      <w:r w:rsidR="006168C8">
        <w:rPr>
          <w:bCs/>
        </w:rPr>
        <w:t>ns as following may come up for</w:t>
      </w:r>
      <w:r w:rsidR="0031606B">
        <w:rPr>
          <w:bCs/>
        </w:rPr>
        <w:t xml:space="preserve"> power normalization: </w:t>
      </w:r>
    </w:p>
    <w:p w:rsidR="000137CB" w:rsidRPr="000137CB" w:rsidRDefault="0031606B" w:rsidP="000137CB">
      <w:pPr>
        <w:pStyle w:val="ListParagraph"/>
        <w:numPr>
          <w:ilvl w:val="0"/>
          <w:numId w:val="23"/>
        </w:numPr>
        <w:spacing w:after="120" w:line="276" w:lineRule="auto"/>
        <w:ind w:leftChars="0" w:left="720"/>
        <w:rPr>
          <w:bCs/>
          <w:sz w:val="20"/>
        </w:rPr>
      </w:pPr>
      <w:r w:rsidRPr="000137CB">
        <w:rPr>
          <w:bCs/>
          <w:sz w:val="20"/>
        </w:rPr>
        <w:t>Option-1: There is no power normalization over target channel and background channel</w:t>
      </w:r>
      <w:r w:rsidR="00F40B78" w:rsidRPr="000137CB">
        <w:rPr>
          <w:bCs/>
          <w:sz w:val="20"/>
        </w:rPr>
        <w:t xml:space="preserve">. </w:t>
      </w:r>
    </w:p>
    <w:p w:rsidR="0031606B" w:rsidRDefault="00F40B78" w:rsidP="000137CB">
      <w:pPr>
        <w:spacing w:after="120"/>
        <w:ind w:left="720"/>
        <w:rPr>
          <w:bCs/>
        </w:rPr>
      </w:pPr>
      <w:r>
        <w:rPr>
          <w:bCs/>
        </w:rPr>
        <w:t xml:space="preserve">Within this option, adding sensing targets to </w:t>
      </w:r>
      <w:r w:rsidR="006168C8">
        <w:rPr>
          <w:bCs/>
        </w:rPr>
        <w:t xml:space="preserve">the Tx-Rx channel </w:t>
      </w:r>
      <w:r>
        <w:rPr>
          <w:bCs/>
        </w:rPr>
        <w:t>always increases the channel gain, which means in order to have an accurate system level evaluation, a sensing target should be theoretically added to all Tx-Rx channels regardless of whether {Tx, target, Rx} construct a sensing geometry or not. As long as a strong-enough signal (regardless whether the signal is sensing signal of not) reaches the Rx via the target, the signal makes a difference to Tx-Rx channel and therefore needs to be modeled. Meanwhile, it can be hard to tell whether</w:t>
      </w:r>
      <w:r w:rsidR="000137CB">
        <w:rPr>
          <w:bCs/>
        </w:rPr>
        <w:t xml:space="preserve"> the signal is strong enough at arrival to Rx without modeling it passing through concatenation of Tx-target channel, target scattering and target-Rx channel. The consequence is that Tx-target-Rx channel is likely to be modeled for any combination of {Tx, target, Rx}. </w:t>
      </w:r>
      <w:r>
        <w:rPr>
          <w:bCs/>
        </w:rPr>
        <w:t xml:space="preserve">   </w:t>
      </w:r>
    </w:p>
    <w:p w:rsidR="00F100C9" w:rsidRDefault="00F4746A" w:rsidP="000137CB">
      <w:pPr>
        <w:pStyle w:val="ListParagraph"/>
        <w:numPr>
          <w:ilvl w:val="0"/>
          <w:numId w:val="23"/>
        </w:numPr>
        <w:spacing w:after="120" w:line="276" w:lineRule="auto"/>
        <w:ind w:leftChars="0" w:left="720"/>
        <w:rPr>
          <w:bCs/>
          <w:sz w:val="20"/>
        </w:rPr>
      </w:pPr>
      <w:r>
        <w:rPr>
          <w:bCs/>
          <w:sz w:val="20"/>
        </w:rPr>
        <w:t>Option-2</w:t>
      </w:r>
      <w:r w:rsidR="000137CB" w:rsidRPr="000137CB">
        <w:rPr>
          <w:bCs/>
          <w:sz w:val="20"/>
        </w:rPr>
        <w:t xml:space="preserve">: </w:t>
      </w:r>
      <w:r w:rsidR="000137CB">
        <w:rPr>
          <w:bCs/>
          <w:sz w:val="20"/>
        </w:rPr>
        <w:t>Power normalization is applied over both</w:t>
      </w:r>
      <w:r w:rsidR="000137CB" w:rsidRPr="000137CB">
        <w:rPr>
          <w:bCs/>
          <w:sz w:val="20"/>
        </w:rPr>
        <w:t xml:space="preserve"> target channel</w:t>
      </w:r>
      <w:r w:rsidR="000137CB">
        <w:rPr>
          <w:bCs/>
          <w:sz w:val="20"/>
        </w:rPr>
        <w:t>(s)</w:t>
      </w:r>
      <w:r w:rsidR="000137CB" w:rsidRPr="000137CB">
        <w:rPr>
          <w:bCs/>
          <w:sz w:val="20"/>
        </w:rPr>
        <w:t xml:space="preserve"> and background channel</w:t>
      </w:r>
      <w:r w:rsidR="000137CB">
        <w:rPr>
          <w:bCs/>
          <w:sz w:val="20"/>
        </w:rPr>
        <w:t xml:space="preserve"> for a given pair of Tx and Rx, in order to keep large-scale fading </w:t>
      </w:r>
      <w:r w:rsidR="00021C16">
        <w:rPr>
          <w:bCs/>
          <w:sz w:val="20"/>
        </w:rPr>
        <w:t>of Tx-Rx channel unchanged between before and after adding the target channel(s) to the background channel</w:t>
      </w:r>
      <w:r w:rsidR="000137CB" w:rsidRPr="000137CB">
        <w:rPr>
          <w:bCs/>
          <w:sz w:val="20"/>
        </w:rPr>
        <w:t xml:space="preserve">. </w:t>
      </w:r>
    </w:p>
    <w:p w:rsidR="000137CB" w:rsidRDefault="00F100C9" w:rsidP="00F100C9">
      <w:pPr>
        <w:pStyle w:val="ListParagraph"/>
        <w:spacing w:after="120" w:line="276" w:lineRule="auto"/>
        <w:ind w:leftChars="0" w:left="720"/>
        <w:rPr>
          <w:bCs/>
          <w:iCs/>
          <w:sz w:val="20"/>
          <w:lang w:eastAsia="zh-CN"/>
        </w:rPr>
      </w:pPr>
      <w:r>
        <w:rPr>
          <w:bCs/>
          <w:sz w:val="20"/>
        </w:rPr>
        <w:t xml:space="preserve">Within this option, normalizing the power of target channels inevitably changes the powers in target channels, which are derived as absolute values by using formula such as </w:t>
      </w:r>
      <m:oMath>
        <m:sSub>
          <m:sSubPr>
            <m:ctrlPr>
              <w:rPr>
                <w:rFonts w:ascii="Cambria Math" w:eastAsia="SimSun" w:hAnsi="Cambria Math"/>
                <w:bCs/>
                <w:i/>
                <w:iCs/>
                <w:sz w:val="20"/>
                <w:lang w:eastAsia="zh-CN"/>
              </w:rPr>
            </m:ctrlPr>
          </m:sSubPr>
          <m:e>
            <m:r>
              <w:rPr>
                <w:rFonts w:ascii="Cambria Math" w:eastAsia="SimSun" w:hAnsi="Cambria Math"/>
                <w:sz w:val="20"/>
                <w:lang w:eastAsia="zh-CN"/>
              </w:rPr>
              <m:t>PL</m:t>
            </m:r>
          </m:e>
          <m:sub>
            <m:r>
              <w:rPr>
                <w:rFonts w:ascii="Cambria Math" w:eastAsia="SimSun" w:hAnsi="Cambria Math"/>
                <w:sz w:val="20"/>
                <w:lang w:eastAsia="zh-CN"/>
              </w:rPr>
              <m:t>s</m:t>
            </m:r>
          </m:sub>
        </m:sSub>
        <m:d>
          <m:dPr>
            <m:ctrlPr>
              <w:rPr>
                <w:rFonts w:ascii="Cambria Math" w:eastAsia="SimSun" w:hAnsi="Cambria Math"/>
                <w:bCs/>
                <w:i/>
                <w:iCs/>
                <w:sz w:val="20"/>
                <w:lang w:eastAsia="zh-CN"/>
              </w:rPr>
            </m:ctrlPr>
          </m:dPr>
          <m:e>
            <m:sSub>
              <m:sSubPr>
                <m:ctrlPr>
                  <w:rPr>
                    <w:rFonts w:ascii="Cambria Math" w:eastAsia="SimSun" w:hAnsi="Cambria Math"/>
                    <w:bCs/>
                    <w:i/>
                    <w:iCs/>
                    <w:sz w:val="20"/>
                    <w:lang w:eastAsia="zh-CN"/>
                  </w:rPr>
                </m:ctrlPr>
              </m:sSubPr>
              <m:e>
                <m:r>
                  <w:rPr>
                    <w:rFonts w:ascii="Cambria Math" w:eastAsia="SimSun" w:hAnsi="Cambria Math"/>
                    <w:sz w:val="20"/>
                    <w:lang w:eastAsia="zh-CN"/>
                  </w:rPr>
                  <m:t>d</m:t>
                </m:r>
              </m:e>
              <m:sub>
                <m:r>
                  <w:rPr>
                    <w:rFonts w:ascii="Cambria Math" w:eastAsia="SimSun"/>
                    <w:sz w:val="20"/>
                    <w:lang w:eastAsia="zh-CN"/>
                  </w:rPr>
                  <m:t>1</m:t>
                </m:r>
              </m:sub>
            </m:sSub>
            <m:r>
              <w:rPr>
                <w:rFonts w:ascii="Cambria Math" w:eastAsia="SimSun"/>
                <w:sz w:val="20"/>
                <w:lang w:eastAsia="zh-CN"/>
              </w:rPr>
              <m:t>,</m:t>
            </m:r>
            <m:sSub>
              <m:sSubPr>
                <m:ctrlPr>
                  <w:rPr>
                    <w:rFonts w:ascii="Cambria Math" w:eastAsia="SimSun" w:hAnsi="Cambria Math"/>
                    <w:bCs/>
                    <w:i/>
                    <w:iCs/>
                    <w:sz w:val="20"/>
                    <w:lang w:eastAsia="zh-CN"/>
                  </w:rPr>
                </m:ctrlPr>
              </m:sSubPr>
              <m:e>
                <m:r>
                  <w:rPr>
                    <w:rFonts w:ascii="Cambria Math" w:eastAsia="SimSun" w:hAnsi="Cambria Math"/>
                    <w:sz w:val="20"/>
                    <w:lang w:eastAsia="zh-CN"/>
                  </w:rPr>
                  <m:t>d</m:t>
                </m:r>
              </m:e>
              <m:sub>
                <m:r>
                  <w:rPr>
                    <w:rFonts w:ascii="Cambria Math" w:eastAsia="SimSun"/>
                    <w:sz w:val="20"/>
                    <w:lang w:eastAsia="zh-CN"/>
                  </w:rPr>
                  <m:t>2</m:t>
                </m:r>
              </m:sub>
            </m:sSub>
          </m:e>
        </m:d>
        <m:r>
          <w:rPr>
            <w:rFonts w:ascii="Cambria Math" w:eastAsia="SimSun"/>
            <w:sz w:val="20"/>
            <w:lang w:eastAsia="zh-CN"/>
          </w:rPr>
          <m:t>=</m:t>
        </m:r>
        <m:r>
          <w:rPr>
            <w:rFonts w:ascii="Cambria Math" w:eastAsia="SimSun" w:hAnsi="Cambria Math"/>
            <w:sz w:val="20"/>
            <w:lang w:eastAsia="zh-CN"/>
          </w:rPr>
          <m:t>PL</m:t>
        </m:r>
        <m:d>
          <m:dPr>
            <m:ctrlPr>
              <w:rPr>
                <w:rFonts w:ascii="Cambria Math" w:eastAsia="SimSun" w:hAnsi="Cambria Math"/>
                <w:bCs/>
                <w:i/>
                <w:iCs/>
                <w:sz w:val="20"/>
                <w:lang w:eastAsia="zh-CN"/>
              </w:rPr>
            </m:ctrlPr>
          </m:dPr>
          <m:e>
            <m:sSub>
              <m:sSubPr>
                <m:ctrlPr>
                  <w:rPr>
                    <w:rFonts w:ascii="Cambria Math" w:eastAsia="SimSun" w:hAnsi="Cambria Math"/>
                    <w:bCs/>
                    <w:i/>
                    <w:iCs/>
                    <w:sz w:val="20"/>
                    <w:lang w:eastAsia="zh-CN"/>
                  </w:rPr>
                </m:ctrlPr>
              </m:sSubPr>
              <m:e>
                <m:r>
                  <w:rPr>
                    <w:rFonts w:ascii="Cambria Math" w:eastAsia="SimSun" w:hAnsi="Cambria Math"/>
                    <w:sz w:val="20"/>
                    <w:lang w:eastAsia="zh-CN"/>
                  </w:rPr>
                  <m:t>d</m:t>
                </m:r>
              </m:e>
              <m:sub>
                <m:r>
                  <w:rPr>
                    <w:rFonts w:ascii="Cambria Math" w:eastAsia="SimSun"/>
                    <w:sz w:val="20"/>
                    <w:lang w:eastAsia="zh-CN"/>
                  </w:rPr>
                  <m:t>1</m:t>
                </m:r>
              </m:sub>
            </m:sSub>
          </m:e>
        </m:d>
        <m:r>
          <w:rPr>
            <w:rFonts w:ascii="Cambria Math" w:eastAsia="SimSun"/>
            <w:sz w:val="20"/>
            <w:lang w:eastAsia="zh-CN"/>
          </w:rPr>
          <m:t>+</m:t>
        </m:r>
        <m:r>
          <w:rPr>
            <w:rFonts w:ascii="Cambria Math" w:eastAsia="SimSun" w:hAnsi="Cambria Math"/>
            <w:sz w:val="20"/>
            <w:lang w:eastAsia="zh-CN"/>
          </w:rPr>
          <m:t>PL</m:t>
        </m:r>
        <m:d>
          <m:dPr>
            <m:ctrlPr>
              <w:rPr>
                <w:rFonts w:ascii="Cambria Math" w:eastAsia="SimSun" w:hAnsi="Cambria Math"/>
                <w:bCs/>
                <w:i/>
                <w:iCs/>
                <w:sz w:val="20"/>
                <w:lang w:eastAsia="zh-CN"/>
              </w:rPr>
            </m:ctrlPr>
          </m:dPr>
          <m:e>
            <m:sSub>
              <m:sSubPr>
                <m:ctrlPr>
                  <w:rPr>
                    <w:rFonts w:ascii="Cambria Math" w:eastAsia="SimSun" w:hAnsi="Cambria Math"/>
                    <w:bCs/>
                    <w:i/>
                    <w:iCs/>
                    <w:sz w:val="20"/>
                    <w:lang w:eastAsia="zh-CN"/>
                  </w:rPr>
                </m:ctrlPr>
              </m:sSubPr>
              <m:e>
                <m:r>
                  <w:rPr>
                    <w:rFonts w:ascii="Cambria Math" w:eastAsia="SimSun" w:hAnsi="Cambria Math"/>
                    <w:sz w:val="20"/>
                    <w:lang w:eastAsia="zh-CN"/>
                  </w:rPr>
                  <m:t>d</m:t>
                </m:r>
              </m:e>
              <m:sub>
                <m:r>
                  <w:rPr>
                    <w:rFonts w:ascii="Cambria Math" w:eastAsia="SimSun"/>
                    <w:sz w:val="20"/>
                    <w:lang w:eastAsia="zh-CN"/>
                  </w:rPr>
                  <m:t>2</m:t>
                </m:r>
              </m:sub>
            </m:sSub>
          </m:e>
        </m:d>
        <m:r>
          <w:rPr>
            <w:rFonts w:ascii="Cambria Math" w:eastAsia="SimSun"/>
            <w:sz w:val="20"/>
            <w:lang w:eastAsia="zh-CN"/>
          </w:rPr>
          <m:t>+10</m:t>
        </m:r>
        <m:func>
          <m:funcPr>
            <m:ctrlPr>
              <w:rPr>
                <w:rFonts w:ascii="Cambria Math" w:eastAsia="SimSun" w:hAnsi="Cambria Math"/>
                <w:bCs/>
                <w:i/>
                <w:iCs/>
                <w:sz w:val="20"/>
                <w:lang w:eastAsia="zh-CN"/>
              </w:rPr>
            </m:ctrlPr>
          </m:funcPr>
          <m:fName>
            <m:sSub>
              <m:sSubPr>
                <m:ctrlPr>
                  <w:rPr>
                    <w:rFonts w:ascii="Cambria Math" w:eastAsia="SimSun" w:hAnsi="Cambria Math"/>
                    <w:bCs/>
                    <w:i/>
                    <w:iCs/>
                    <w:sz w:val="20"/>
                    <w:lang w:eastAsia="zh-CN"/>
                  </w:rPr>
                </m:ctrlPr>
              </m:sSubPr>
              <m:e>
                <m:r>
                  <w:rPr>
                    <w:rFonts w:ascii="Cambria Math" w:eastAsia="SimSun" w:hAnsi="Cambria Math"/>
                    <w:sz w:val="20"/>
                  </w:rPr>
                  <m:t>log</m:t>
                </m:r>
              </m:e>
              <m:sub>
                <m:r>
                  <w:rPr>
                    <w:rFonts w:ascii="Cambria Math" w:eastAsia="SimSun"/>
                    <w:sz w:val="20"/>
                    <w:lang w:eastAsia="zh-CN"/>
                  </w:rPr>
                  <m:t>10</m:t>
                </m:r>
              </m:sub>
            </m:sSub>
          </m:fName>
          <m:e>
            <m:d>
              <m:dPr>
                <m:ctrlPr>
                  <w:rPr>
                    <w:rFonts w:ascii="Cambria Math" w:eastAsia="SimSun" w:hAnsi="Cambria Math"/>
                    <w:bCs/>
                    <w:i/>
                    <w:iCs/>
                    <w:sz w:val="20"/>
                    <w:lang w:eastAsia="zh-CN"/>
                  </w:rPr>
                </m:ctrlPr>
              </m:dPr>
              <m:e>
                <m:f>
                  <m:fPr>
                    <m:ctrlPr>
                      <w:rPr>
                        <w:rFonts w:ascii="Cambria Math" w:eastAsia="SimSun" w:hAnsi="Cambria Math"/>
                        <w:bCs/>
                        <w:i/>
                        <w:iCs/>
                        <w:sz w:val="20"/>
                        <w:lang w:eastAsia="zh-CN"/>
                      </w:rPr>
                    </m:ctrlPr>
                  </m:fPr>
                  <m:num>
                    <m:sSup>
                      <m:sSupPr>
                        <m:ctrlPr>
                          <w:rPr>
                            <w:rFonts w:ascii="Cambria Math" w:eastAsia="SimSun" w:hAnsi="Cambria Math"/>
                            <w:bCs/>
                            <w:i/>
                            <w:iCs/>
                            <w:sz w:val="20"/>
                            <w:lang w:eastAsia="zh-CN"/>
                          </w:rPr>
                        </m:ctrlPr>
                      </m:sSupPr>
                      <m:e>
                        <m:r>
                          <w:rPr>
                            <w:rFonts w:ascii="Cambria Math" w:eastAsia="SimSun" w:hAnsi="Cambria Math"/>
                            <w:sz w:val="20"/>
                            <w:lang w:eastAsia="zh-CN"/>
                          </w:rPr>
                          <m:t>λ</m:t>
                        </m:r>
                      </m:e>
                      <m:sup>
                        <m:r>
                          <w:rPr>
                            <w:rFonts w:ascii="Cambria Math" w:eastAsia="SimSun"/>
                            <w:sz w:val="20"/>
                            <w:lang w:eastAsia="zh-CN"/>
                          </w:rPr>
                          <m:t>2</m:t>
                        </m:r>
                      </m:sup>
                    </m:sSup>
                  </m:num>
                  <m:den>
                    <m:r>
                      <w:rPr>
                        <w:rFonts w:ascii="Cambria Math" w:eastAsia="SimSun"/>
                        <w:sz w:val="20"/>
                        <w:lang w:eastAsia="zh-CN"/>
                      </w:rPr>
                      <m:t>4</m:t>
                    </m:r>
                    <m:r>
                      <w:rPr>
                        <w:rFonts w:ascii="Cambria Math" w:eastAsia="SimSun" w:hAnsi="Cambria Math"/>
                        <w:sz w:val="20"/>
                        <w:lang w:eastAsia="zh-CN"/>
                      </w:rPr>
                      <m:t>πA</m:t>
                    </m:r>
                  </m:den>
                </m:f>
              </m:e>
            </m:d>
          </m:e>
        </m:func>
      </m:oMath>
      <w:r>
        <w:rPr>
          <w:bCs/>
          <w:iCs/>
          <w:sz w:val="20"/>
          <w:lang w:eastAsia="zh-CN"/>
        </w:rPr>
        <w:t xml:space="preserve"> once the geometry of {Tx, target, Rx} are given. There seems no room in nature to change Tx-target-Rx power.</w:t>
      </w:r>
      <w:r w:rsidR="008119A6">
        <w:rPr>
          <w:bCs/>
          <w:iCs/>
          <w:sz w:val="20"/>
          <w:lang w:eastAsia="zh-CN"/>
        </w:rPr>
        <w:t xml:space="preserve"> </w:t>
      </w:r>
    </w:p>
    <w:p w:rsidR="00CA631F" w:rsidRDefault="00F100C9" w:rsidP="00F100C9">
      <w:pPr>
        <w:pStyle w:val="ListParagraph"/>
        <w:numPr>
          <w:ilvl w:val="0"/>
          <w:numId w:val="23"/>
        </w:numPr>
        <w:spacing w:after="120" w:line="276" w:lineRule="auto"/>
        <w:ind w:leftChars="0" w:left="720"/>
        <w:rPr>
          <w:bCs/>
          <w:sz w:val="20"/>
        </w:rPr>
      </w:pPr>
      <w:r>
        <w:rPr>
          <w:bCs/>
          <w:sz w:val="20"/>
        </w:rPr>
        <w:lastRenderedPageBreak/>
        <w:t>Option-3</w:t>
      </w:r>
      <w:r w:rsidRPr="000137CB">
        <w:rPr>
          <w:bCs/>
          <w:sz w:val="20"/>
        </w:rPr>
        <w:t xml:space="preserve">: </w:t>
      </w:r>
      <w:r>
        <w:rPr>
          <w:bCs/>
          <w:sz w:val="20"/>
        </w:rPr>
        <w:t>P</w:t>
      </w:r>
      <w:r w:rsidRPr="000137CB">
        <w:rPr>
          <w:bCs/>
          <w:sz w:val="20"/>
        </w:rPr>
        <w:t xml:space="preserve">ower normalization </w:t>
      </w:r>
      <w:r>
        <w:rPr>
          <w:bCs/>
          <w:sz w:val="20"/>
        </w:rPr>
        <w:t>is applied over</w:t>
      </w:r>
      <w:r w:rsidRPr="000137CB">
        <w:rPr>
          <w:bCs/>
          <w:sz w:val="20"/>
        </w:rPr>
        <w:t xml:space="preserve"> background channel</w:t>
      </w:r>
      <w:r>
        <w:rPr>
          <w:bCs/>
          <w:sz w:val="20"/>
        </w:rPr>
        <w:t xml:space="preserve"> only but not any target channel, to keep large-scale fading of Tx-Rx channel unchanged between before and after adding the target channel(s) to the background channel</w:t>
      </w:r>
      <w:r w:rsidRPr="000137CB">
        <w:rPr>
          <w:bCs/>
          <w:sz w:val="20"/>
        </w:rPr>
        <w:t>.</w:t>
      </w:r>
    </w:p>
    <w:p w:rsidR="00F100C9" w:rsidRPr="000329C7" w:rsidRDefault="00CA631F" w:rsidP="000329C7">
      <w:pPr>
        <w:pStyle w:val="ListParagraph"/>
        <w:spacing w:after="120" w:line="276" w:lineRule="auto"/>
        <w:ind w:leftChars="0" w:left="720"/>
        <w:rPr>
          <w:bCs/>
          <w:sz w:val="20"/>
        </w:rPr>
      </w:pPr>
      <w:r>
        <w:rPr>
          <w:bCs/>
          <w:sz w:val="20"/>
        </w:rPr>
        <w:t>Within this option, it is required that the aggregated Tx-target-Rx channel gain over all target channels</w:t>
      </w:r>
      <w:r w:rsidR="00F100C9" w:rsidRPr="000137CB">
        <w:rPr>
          <w:bCs/>
          <w:sz w:val="20"/>
        </w:rPr>
        <w:t xml:space="preserve"> </w:t>
      </w:r>
      <w:r>
        <w:rPr>
          <w:bCs/>
          <w:sz w:val="20"/>
        </w:rPr>
        <w:t>is no larger than the Tx-Rx channel gain before adding any sensing target. However, there is no modelling step to guarantee this requirement to be met, especially in case the Tx-to-Rx link is in NLOS state while Tx-target link and target-Rx link are in LOS state</w:t>
      </w:r>
      <w:r w:rsidR="001F16C2">
        <w:rPr>
          <w:bCs/>
          <w:sz w:val="20"/>
        </w:rPr>
        <w:t>s</w:t>
      </w:r>
      <w:r>
        <w:rPr>
          <w:bCs/>
          <w:sz w:val="20"/>
        </w:rPr>
        <w:t xml:space="preserve">. In addition, </w:t>
      </w:r>
      <w:r w:rsidR="001F16C2">
        <w:rPr>
          <w:bCs/>
          <w:sz w:val="20"/>
        </w:rPr>
        <w:t>in case the Tx-to-Rx link is in LOS condition, it can be difficult to change the power of LOS ray due to normalization because the power of LOS ray is also bound with K</w:t>
      </w:r>
      <w:r w:rsidR="001F16C2" w:rsidRPr="001F16C2">
        <w:rPr>
          <w:bCs/>
          <w:sz w:val="20"/>
          <w:vertAlign w:val="subscript"/>
        </w:rPr>
        <w:t>R</w:t>
      </w:r>
      <w:r w:rsidR="001F16C2">
        <w:rPr>
          <w:bCs/>
          <w:sz w:val="20"/>
        </w:rPr>
        <w:t xml:space="preserve"> factor. </w:t>
      </w:r>
    </w:p>
    <w:p w:rsidR="00F100C9" w:rsidRPr="004649FA" w:rsidRDefault="000A2CF2" w:rsidP="004649FA">
      <w:pPr>
        <w:spacing w:after="120"/>
        <w:rPr>
          <w:b/>
          <w:bCs/>
          <w:i/>
          <w:szCs w:val="20"/>
        </w:rPr>
      </w:pPr>
      <w:r w:rsidRPr="004649FA">
        <w:rPr>
          <w:b/>
          <w:bCs/>
          <w:i/>
          <w:szCs w:val="20"/>
        </w:rPr>
        <w:t>Proposal 6: RAN1 choose from follow</w:t>
      </w:r>
      <w:r w:rsidR="00C512BE">
        <w:rPr>
          <w:b/>
          <w:bCs/>
          <w:i/>
          <w:szCs w:val="20"/>
        </w:rPr>
        <w:t>ing alternatives</w:t>
      </w:r>
      <w:r w:rsidRPr="004649FA">
        <w:rPr>
          <w:b/>
          <w:bCs/>
          <w:i/>
          <w:szCs w:val="20"/>
        </w:rPr>
        <w:t xml:space="preserve"> for power normalization. </w:t>
      </w:r>
    </w:p>
    <w:p w:rsidR="000A2CF2" w:rsidRPr="004649FA" w:rsidRDefault="00C512BE" w:rsidP="004649FA">
      <w:pPr>
        <w:pStyle w:val="ListParagraph"/>
        <w:numPr>
          <w:ilvl w:val="0"/>
          <w:numId w:val="24"/>
        </w:numPr>
        <w:spacing w:after="120" w:line="276" w:lineRule="auto"/>
        <w:ind w:leftChars="0"/>
        <w:rPr>
          <w:b/>
          <w:bCs/>
          <w:i/>
          <w:sz w:val="20"/>
        </w:rPr>
      </w:pPr>
      <w:r>
        <w:rPr>
          <w:b/>
          <w:bCs/>
          <w:i/>
          <w:sz w:val="20"/>
          <w:lang w:val="en-US"/>
        </w:rPr>
        <w:t>Alt</w:t>
      </w:r>
      <w:r w:rsidR="000A2CF2" w:rsidRPr="004649FA">
        <w:rPr>
          <w:b/>
          <w:bCs/>
          <w:i/>
          <w:sz w:val="20"/>
        </w:rPr>
        <w:t>-1: No power normalization between target channel</w:t>
      </w:r>
      <w:r w:rsidR="000329C7">
        <w:rPr>
          <w:b/>
          <w:bCs/>
          <w:i/>
          <w:sz w:val="20"/>
        </w:rPr>
        <w:t>(</w:t>
      </w:r>
      <w:r w:rsidR="000A2CF2" w:rsidRPr="004649FA">
        <w:rPr>
          <w:b/>
          <w:bCs/>
          <w:i/>
          <w:sz w:val="20"/>
        </w:rPr>
        <w:t>s</w:t>
      </w:r>
      <w:r w:rsidR="000329C7">
        <w:rPr>
          <w:b/>
          <w:bCs/>
          <w:i/>
          <w:sz w:val="20"/>
        </w:rPr>
        <w:t xml:space="preserve">) and </w:t>
      </w:r>
      <w:r w:rsidR="000A2CF2" w:rsidRPr="004649FA">
        <w:rPr>
          <w:b/>
          <w:bCs/>
          <w:i/>
          <w:sz w:val="20"/>
        </w:rPr>
        <w:t>background channel.</w:t>
      </w:r>
    </w:p>
    <w:p w:rsidR="000A2CF2" w:rsidRPr="004649FA" w:rsidRDefault="00C512BE" w:rsidP="004649FA">
      <w:pPr>
        <w:pStyle w:val="ListParagraph"/>
        <w:numPr>
          <w:ilvl w:val="0"/>
          <w:numId w:val="24"/>
        </w:numPr>
        <w:spacing w:after="120" w:line="276" w:lineRule="auto"/>
        <w:ind w:leftChars="0"/>
        <w:rPr>
          <w:b/>
          <w:bCs/>
          <w:i/>
          <w:sz w:val="20"/>
        </w:rPr>
      </w:pPr>
      <w:r>
        <w:rPr>
          <w:b/>
          <w:bCs/>
          <w:i/>
          <w:sz w:val="20"/>
        </w:rPr>
        <w:t>Alt</w:t>
      </w:r>
      <w:r w:rsidR="000A2CF2" w:rsidRPr="004649FA">
        <w:rPr>
          <w:b/>
          <w:bCs/>
          <w:i/>
          <w:sz w:val="20"/>
        </w:rPr>
        <w:t xml:space="preserve">-2: Power normalization is applied to both target channel(s) and background channel. </w:t>
      </w:r>
    </w:p>
    <w:p w:rsidR="000137CB" w:rsidRPr="005A3B25" w:rsidRDefault="00C512BE" w:rsidP="005A3B25">
      <w:pPr>
        <w:pStyle w:val="ListParagraph"/>
        <w:numPr>
          <w:ilvl w:val="0"/>
          <w:numId w:val="24"/>
        </w:numPr>
        <w:spacing w:after="120" w:line="276" w:lineRule="auto"/>
        <w:ind w:leftChars="0"/>
        <w:rPr>
          <w:b/>
          <w:bCs/>
          <w:i/>
          <w:sz w:val="20"/>
        </w:rPr>
      </w:pPr>
      <w:r>
        <w:rPr>
          <w:b/>
          <w:bCs/>
          <w:i/>
          <w:sz w:val="20"/>
        </w:rPr>
        <w:t>Alt</w:t>
      </w:r>
      <w:r w:rsidR="000A2CF2" w:rsidRPr="004649FA">
        <w:rPr>
          <w:b/>
          <w:bCs/>
          <w:i/>
          <w:sz w:val="20"/>
        </w:rPr>
        <w:t>-3: Pow</w:t>
      </w:r>
      <w:r w:rsidR="000329C7">
        <w:rPr>
          <w:b/>
          <w:bCs/>
          <w:i/>
          <w:sz w:val="20"/>
        </w:rPr>
        <w:t>er normalization is applied to</w:t>
      </w:r>
      <w:r w:rsidR="000A2CF2" w:rsidRPr="004649FA">
        <w:rPr>
          <w:b/>
          <w:bCs/>
          <w:i/>
          <w:sz w:val="20"/>
        </w:rPr>
        <w:t xml:space="preserve"> background channel only but not any target channel.  </w:t>
      </w:r>
    </w:p>
    <w:p w:rsidR="00C512BE" w:rsidRPr="00C512BE" w:rsidRDefault="00C512BE" w:rsidP="000329C7">
      <w:pPr>
        <w:spacing w:before="240"/>
        <w:rPr>
          <w:iCs/>
          <w:lang w:val="en-GB"/>
        </w:rPr>
      </w:pPr>
      <w:r>
        <w:rPr>
          <w:iCs/>
          <w:lang w:val="en-GB"/>
        </w:rPr>
        <w:t>In our view, it is possible for ISAC channel model to adopt multiple alternatives.</w:t>
      </w:r>
    </w:p>
    <w:p w:rsidR="00440CAD" w:rsidRDefault="00697913" w:rsidP="000329C7">
      <w:pPr>
        <w:spacing w:before="240"/>
        <w:rPr>
          <w:b/>
          <w:i/>
          <w:iCs/>
          <w:u w:val="single"/>
        </w:rPr>
      </w:pPr>
      <w:r>
        <w:rPr>
          <w:b/>
          <w:i/>
          <w:iCs/>
          <w:u w:val="single"/>
        </w:rPr>
        <w:t>Interactions between background channel and target channel(s)</w:t>
      </w:r>
      <w:r w:rsidR="00814F10">
        <w:rPr>
          <w:b/>
          <w:i/>
          <w:iCs/>
          <w:u w:val="single"/>
        </w:rPr>
        <w:t xml:space="preserve"> in bi-static geom</w:t>
      </w:r>
      <w:r w:rsidR="001F16C2">
        <w:rPr>
          <w:b/>
          <w:i/>
          <w:iCs/>
          <w:u w:val="single"/>
        </w:rPr>
        <w:t>e</w:t>
      </w:r>
      <w:r w:rsidR="00814F10">
        <w:rPr>
          <w:b/>
          <w:i/>
          <w:iCs/>
          <w:u w:val="single"/>
        </w:rPr>
        <w:t>try</w:t>
      </w:r>
      <w:r>
        <w:rPr>
          <w:b/>
          <w:i/>
          <w:iCs/>
          <w:u w:val="single"/>
        </w:rPr>
        <w:t>: Other dependencies of background channel upon target channels</w:t>
      </w:r>
    </w:p>
    <w:p w:rsidR="00440CAD" w:rsidRDefault="00871D1B">
      <w:pPr>
        <w:rPr>
          <w:bCs/>
        </w:rPr>
      </w:pPr>
      <w:r>
        <w:rPr>
          <w:bCs/>
        </w:rPr>
        <w:t xml:space="preserve">Besides the power normalization that introduces the interaction between target channel and background channel, we observe at least the other two dependencies the background channel may have upon the target channels: the LOS power and </w:t>
      </w:r>
      <w:r w:rsidR="00B51537">
        <w:rPr>
          <w:bCs/>
        </w:rPr>
        <w:t xml:space="preserve">NLOS cluster angles in background channel. </w:t>
      </w:r>
    </w:p>
    <w:p w:rsidR="00B51537" w:rsidRDefault="00B51537">
      <w:pPr>
        <w:rPr>
          <w:bCs/>
        </w:rPr>
      </w:pPr>
      <w:r>
        <w:rPr>
          <w:bCs/>
        </w:rPr>
        <w:t>To follow existing 38.901, the power of direct LOS between Tx and Rx is modeled as K</w:t>
      </w:r>
      <w:r w:rsidRPr="00B51537">
        <w:rPr>
          <w:bCs/>
          <w:vertAlign w:val="subscript"/>
        </w:rPr>
        <w:t>R</w:t>
      </w:r>
      <w:r>
        <w:rPr>
          <w:bCs/>
        </w:rPr>
        <w:t>/(K</w:t>
      </w:r>
      <w:r w:rsidRPr="00B51537">
        <w:rPr>
          <w:bCs/>
          <w:vertAlign w:val="subscript"/>
        </w:rPr>
        <w:t>R</w:t>
      </w:r>
      <w:r>
        <w:rPr>
          <w:bCs/>
        </w:rPr>
        <w:t xml:space="preserve">+1) of total large-scale power across LOS+NLOS clusters between Tx and Rx, which can be interpreted into two options: the total LOS+NLOS power between Tx and Rx includes (Opt-1) or does not include (Opt-2) the power of target channel(s). </w:t>
      </w:r>
    </w:p>
    <w:p w:rsidR="00B51537" w:rsidRPr="00B51537" w:rsidRDefault="000329C7" w:rsidP="00B51537">
      <w:pPr>
        <w:spacing w:after="120"/>
        <w:rPr>
          <w:b/>
          <w:bCs/>
          <w:i/>
          <w:szCs w:val="20"/>
        </w:rPr>
      </w:pPr>
      <w:r>
        <w:rPr>
          <w:b/>
          <w:bCs/>
          <w:i/>
          <w:szCs w:val="20"/>
        </w:rPr>
        <w:t>Proposal 7</w:t>
      </w:r>
      <w:r w:rsidR="00B51537" w:rsidRPr="00B51537">
        <w:rPr>
          <w:b/>
          <w:bCs/>
          <w:i/>
          <w:szCs w:val="20"/>
        </w:rPr>
        <w:t>: RAN1 clarifies which of following option is adopted when calculating LOS power in background channel as K</w:t>
      </w:r>
      <w:r w:rsidR="00B51537" w:rsidRPr="00B51537">
        <w:rPr>
          <w:b/>
          <w:bCs/>
          <w:i/>
          <w:szCs w:val="20"/>
          <w:vertAlign w:val="subscript"/>
        </w:rPr>
        <w:t>R</w:t>
      </w:r>
      <w:r w:rsidR="00B51537" w:rsidRPr="00B51537">
        <w:rPr>
          <w:b/>
          <w:bCs/>
          <w:i/>
          <w:szCs w:val="20"/>
        </w:rPr>
        <w:t>/(K</w:t>
      </w:r>
      <w:r w:rsidR="00B51537" w:rsidRPr="00B51537">
        <w:rPr>
          <w:b/>
          <w:bCs/>
          <w:i/>
          <w:szCs w:val="20"/>
          <w:vertAlign w:val="subscript"/>
        </w:rPr>
        <w:t>R</w:t>
      </w:r>
      <w:r w:rsidR="00B51537" w:rsidRPr="00B51537">
        <w:rPr>
          <w:b/>
          <w:bCs/>
          <w:i/>
          <w:szCs w:val="20"/>
        </w:rPr>
        <w:t xml:space="preserve">+1) of total large-scale power across LOS+NLOS clusters. </w:t>
      </w:r>
    </w:p>
    <w:p w:rsidR="00B51537" w:rsidRPr="00B51537" w:rsidRDefault="00B51537" w:rsidP="00B51537">
      <w:pPr>
        <w:pStyle w:val="ListParagraph"/>
        <w:numPr>
          <w:ilvl w:val="0"/>
          <w:numId w:val="23"/>
        </w:numPr>
        <w:spacing w:after="120" w:line="276" w:lineRule="auto"/>
        <w:ind w:leftChars="0"/>
        <w:rPr>
          <w:b/>
          <w:bCs/>
          <w:i/>
          <w:sz w:val="20"/>
        </w:rPr>
      </w:pPr>
      <w:r w:rsidRPr="00B51537">
        <w:rPr>
          <w:b/>
          <w:bCs/>
          <w:i/>
          <w:sz w:val="20"/>
        </w:rPr>
        <w:t xml:space="preserve">Option-1: The total large-scale power across LOS+NLOS clusters counts the Tx-target-Rx power(s) in all target channel(s) for the same Tx/Rx pair. </w:t>
      </w:r>
    </w:p>
    <w:p w:rsidR="00B51537" w:rsidRPr="00B51537" w:rsidRDefault="00B51537" w:rsidP="00B51537">
      <w:pPr>
        <w:pStyle w:val="ListParagraph"/>
        <w:numPr>
          <w:ilvl w:val="0"/>
          <w:numId w:val="23"/>
        </w:numPr>
        <w:spacing w:after="120" w:line="276" w:lineRule="auto"/>
        <w:ind w:leftChars="0"/>
        <w:rPr>
          <w:b/>
          <w:bCs/>
          <w:i/>
          <w:sz w:val="20"/>
        </w:rPr>
      </w:pPr>
      <w:r w:rsidRPr="00B51537">
        <w:rPr>
          <w:b/>
          <w:bCs/>
          <w:i/>
          <w:sz w:val="20"/>
        </w:rPr>
        <w:t>Option-2:  The total large-scale power across LOS+NLOS clusters does not count the Tx-target-Rx power in any target channel.</w:t>
      </w:r>
    </w:p>
    <w:p w:rsidR="00B51537" w:rsidRDefault="00211064">
      <w:pPr>
        <w:rPr>
          <w:bCs/>
        </w:rPr>
      </w:pPr>
      <w:r>
        <w:rPr>
          <w:bCs/>
        </w:rPr>
        <w:t xml:space="preserve">In the existing 38.901, the derivation of departure/arrival angles of n-th NLOS cluster contains a term of </w:t>
      </w:r>
      <m:oMath>
        <m:f>
          <m:fPr>
            <m:type m:val="lin"/>
            <m:ctrlPr>
              <w:rPr>
                <w:rFonts w:ascii="Cambria Math" w:hAnsi="Cambria Math"/>
                <w:bCs/>
                <w:i/>
              </w:rPr>
            </m:ctrlPr>
          </m:fPr>
          <m:num>
            <m:sSub>
              <m:sSubPr>
                <m:ctrlPr>
                  <w:rPr>
                    <w:rFonts w:ascii="Cambria Math" w:hAnsi="Cambria Math"/>
                    <w:bCs/>
                    <w:i/>
                  </w:rPr>
                </m:ctrlPr>
              </m:sSubPr>
              <m:e>
                <m:r>
                  <w:rPr>
                    <w:rFonts w:ascii="Cambria Math" w:hAnsi="Cambria Math"/>
                  </w:rPr>
                  <m:t>P</m:t>
                </m:r>
              </m:e>
              <m:sub>
                <m:r>
                  <w:rPr>
                    <w:rFonts w:ascii="Cambria Math" w:hAnsi="Cambria Math"/>
                  </w:rPr>
                  <m:t>n</m:t>
                </m:r>
              </m:sub>
            </m:sSub>
          </m:num>
          <m:den>
            <m:r>
              <w:rPr>
                <w:rFonts w:ascii="Cambria Math" w:hAnsi="Cambria Math"/>
              </w:rPr>
              <m:t>max</m:t>
            </m:r>
            <m:d>
              <m:dPr>
                <m:ctrlPr>
                  <w:rPr>
                    <w:rFonts w:ascii="Cambria Math" w:hAnsi="Cambria Math"/>
                    <w:bCs/>
                    <w:i/>
                  </w:rPr>
                </m:ctrlPr>
              </m:dPr>
              <m:e>
                <m:sSub>
                  <m:sSubPr>
                    <m:ctrlPr>
                      <w:rPr>
                        <w:rFonts w:ascii="Cambria Math" w:hAnsi="Cambria Math"/>
                        <w:bCs/>
                        <w:i/>
                      </w:rPr>
                    </m:ctrlPr>
                  </m:sSubPr>
                  <m:e>
                    <m:r>
                      <w:rPr>
                        <w:rFonts w:ascii="Cambria Math" w:hAnsi="Cambria Math"/>
                      </w:rPr>
                      <m:t>P</m:t>
                    </m:r>
                  </m:e>
                  <m:sub>
                    <m:r>
                      <w:rPr>
                        <w:rFonts w:ascii="Cambria Math" w:hAnsi="Cambria Math"/>
                      </w:rPr>
                      <m:t>n</m:t>
                    </m:r>
                  </m:sub>
                </m:sSub>
              </m:e>
            </m:d>
          </m:den>
        </m:f>
      </m:oMath>
      <w:r>
        <w:rPr>
          <w:bCs/>
        </w:rPr>
        <w:t xml:space="preserve">, where </w:t>
      </w:r>
      <m:oMath>
        <m:sSub>
          <m:sSubPr>
            <m:ctrlPr>
              <w:rPr>
                <w:rFonts w:ascii="Cambria Math" w:hAnsi="Cambria Math"/>
                <w:bCs/>
                <w:i/>
              </w:rPr>
            </m:ctrlPr>
          </m:sSubPr>
          <m:e>
            <m:r>
              <w:rPr>
                <w:rFonts w:ascii="Cambria Math" w:hAnsi="Cambria Math"/>
              </w:rPr>
              <m:t>P</m:t>
            </m:r>
          </m:e>
          <m:sub>
            <m:r>
              <w:rPr>
                <w:rFonts w:ascii="Cambria Math" w:hAnsi="Cambria Math"/>
              </w:rPr>
              <m:t>n</m:t>
            </m:r>
          </m:sub>
        </m:sSub>
      </m:oMath>
      <w:r>
        <w:rPr>
          <w:bCs/>
        </w:rPr>
        <w:t xml:space="preserve"> is the power of n-th cluster, and max() is performed across all clusters between Tx and Rx. Because Tx-target-Rx path is exactly a NLOS path from Tx to Rx, it remains uncertain whether or not </w:t>
      </w:r>
      <m:oMath>
        <m:r>
          <w:rPr>
            <w:rFonts w:ascii="Cambria Math" w:hAnsi="Cambria Math"/>
          </w:rPr>
          <m:t>max</m:t>
        </m:r>
        <m:d>
          <m:dPr>
            <m:ctrlPr>
              <w:rPr>
                <w:rFonts w:ascii="Cambria Math" w:hAnsi="Cambria Math"/>
                <w:bCs/>
                <w:i/>
              </w:rPr>
            </m:ctrlPr>
          </m:dPr>
          <m:e>
            <m:sSub>
              <m:sSubPr>
                <m:ctrlPr>
                  <w:rPr>
                    <w:rFonts w:ascii="Cambria Math" w:hAnsi="Cambria Math"/>
                    <w:bCs/>
                    <w:i/>
                  </w:rPr>
                </m:ctrlPr>
              </m:sSubPr>
              <m:e>
                <m:r>
                  <w:rPr>
                    <w:rFonts w:ascii="Cambria Math" w:hAnsi="Cambria Math"/>
                  </w:rPr>
                  <m:t>P</m:t>
                </m:r>
              </m:e>
              <m:sub>
                <m:r>
                  <w:rPr>
                    <w:rFonts w:ascii="Cambria Math" w:hAnsi="Cambria Math"/>
                  </w:rPr>
                  <m:t>n</m:t>
                </m:r>
              </m:sub>
            </m:sSub>
          </m:e>
        </m:d>
      </m:oMath>
      <w:r>
        <w:rPr>
          <w:bCs/>
        </w:rPr>
        <w:t xml:space="preserve"> takes into account the clusters in target channel(s). </w:t>
      </w:r>
    </w:p>
    <w:p w:rsidR="00211064" w:rsidRPr="00B51537" w:rsidRDefault="000329C7" w:rsidP="00211064">
      <w:pPr>
        <w:spacing w:after="120"/>
        <w:rPr>
          <w:b/>
          <w:bCs/>
          <w:i/>
          <w:szCs w:val="20"/>
        </w:rPr>
      </w:pPr>
      <w:r>
        <w:rPr>
          <w:b/>
          <w:bCs/>
          <w:i/>
          <w:szCs w:val="20"/>
        </w:rPr>
        <w:t>Proposal 8</w:t>
      </w:r>
      <w:r w:rsidR="00211064" w:rsidRPr="00B51537">
        <w:rPr>
          <w:b/>
          <w:bCs/>
          <w:i/>
          <w:szCs w:val="20"/>
        </w:rPr>
        <w:t xml:space="preserve">: RAN1 clarifies which of following option is adopted when </w:t>
      </w:r>
      <w:r w:rsidR="00211064">
        <w:rPr>
          <w:b/>
          <w:bCs/>
          <w:i/>
          <w:szCs w:val="20"/>
        </w:rPr>
        <w:t>the derivation of departure/arrival angles of</w:t>
      </w:r>
      <w:r w:rsidR="00211064" w:rsidRPr="00B51537">
        <w:rPr>
          <w:b/>
          <w:bCs/>
          <w:i/>
          <w:szCs w:val="20"/>
        </w:rPr>
        <w:t xml:space="preserve"> </w:t>
      </w:r>
      <w:r w:rsidR="00211064">
        <w:rPr>
          <w:b/>
          <w:bCs/>
          <w:i/>
          <w:szCs w:val="20"/>
        </w:rPr>
        <w:t xml:space="preserve">NLOS clusters </w:t>
      </w:r>
      <w:r w:rsidR="00211064" w:rsidRPr="00B51537">
        <w:rPr>
          <w:b/>
          <w:bCs/>
          <w:i/>
          <w:szCs w:val="20"/>
        </w:rPr>
        <w:t>in background channel</w:t>
      </w:r>
      <w:r w:rsidR="00211064" w:rsidRPr="00211064">
        <w:rPr>
          <w:b/>
          <w:bCs/>
          <w:i/>
          <w:szCs w:val="20"/>
        </w:rPr>
        <w:t xml:space="preserve"> uses </w:t>
      </w:r>
      <m:oMath>
        <m:f>
          <m:fPr>
            <m:type m:val="lin"/>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n</m:t>
                </m:r>
              </m:sub>
            </m:sSub>
          </m:num>
          <m:den>
            <m:r>
              <m:rPr>
                <m:sty m:val="bi"/>
              </m:rPr>
              <w:rPr>
                <w:rFonts w:ascii="Cambria Math" w:hAnsi="Cambria Math"/>
              </w:rPr>
              <m:t>max</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n</m:t>
                    </m:r>
                  </m:sub>
                </m:sSub>
              </m:e>
            </m:d>
          </m:den>
        </m:f>
      </m:oMath>
      <w:r w:rsidR="00211064" w:rsidRPr="00211064">
        <w:rPr>
          <w:b/>
          <w:bCs/>
          <w:i/>
          <w:szCs w:val="20"/>
        </w:rPr>
        <w:t xml:space="preserve"> </w:t>
      </w:r>
      <w:r w:rsidR="00211064" w:rsidRPr="00B51537">
        <w:rPr>
          <w:b/>
          <w:bCs/>
          <w:i/>
          <w:szCs w:val="20"/>
        </w:rPr>
        <w:t xml:space="preserve">. </w:t>
      </w:r>
    </w:p>
    <w:p w:rsidR="00211064" w:rsidRPr="00B51537" w:rsidRDefault="00211064" w:rsidP="00211064">
      <w:pPr>
        <w:pStyle w:val="ListParagraph"/>
        <w:numPr>
          <w:ilvl w:val="0"/>
          <w:numId w:val="23"/>
        </w:numPr>
        <w:spacing w:after="120" w:line="276" w:lineRule="auto"/>
        <w:ind w:leftChars="0"/>
        <w:rPr>
          <w:b/>
          <w:bCs/>
          <w:i/>
          <w:sz w:val="20"/>
        </w:rPr>
      </w:pPr>
      <w:r>
        <w:rPr>
          <w:b/>
          <w:bCs/>
          <w:i/>
          <w:sz w:val="20"/>
        </w:rPr>
        <w:t xml:space="preserve">Option-1: </w:t>
      </w:r>
      <m:oMath>
        <m:r>
          <m:rPr>
            <m:sty m:val="bi"/>
          </m:rPr>
          <w:rPr>
            <w:rFonts w:ascii="Cambria Math" w:hAnsi="Cambria Math"/>
            <w:sz w:val="20"/>
          </w:rPr>
          <m:t>max</m:t>
        </m:r>
        <m:d>
          <m:dPr>
            <m:ctrlPr>
              <w:rPr>
                <w:rFonts w:ascii="Cambria Math" w:eastAsia="Times New Roman" w:hAnsi="Cambria Math"/>
                <w:b/>
                <w:bCs/>
                <w:i/>
                <w:sz w:val="20"/>
                <w:lang w:val="en-US" w:eastAsia="en-US"/>
              </w:rPr>
            </m:ctrlPr>
          </m:dPr>
          <m:e>
            <m:sSub>
              <m:sSubPr>
                <m:ctrlPr>
                  <w:rPr>
                    <w:rFonts w:ascii="Cambria Math" w:eastAsia="Times New Roman" w:hAnsi="Cambria Math"/>
                    <w:b/>
                    <w:bCs/>
                    <w:i/>
                    <w:sz w:val="20"/>
                    <w:lang w:val="en-US" w:eastAsia="en-US"/>
                  </w:rPr>
                </m:ctrlPr>
              </m:sSubPr>
              <m:e>
                <m:r>
                  <m:rPr>
                    <m:sty m:val="bi"/>
                  </m:rPr>
                  <w:rPr>
                    <w:rFonts w:ascii="Cambria Math" w:hAnsi="Cambria Math"/>
                    <w:sz w:val="20"/>
                  </w:rPr>
                  <m:t>P</m:t>
                </m:r>
              </m:e>
              <m:sub>
                <m:r>
                  <m:rPr>
                    <m:sty m:val="bi"/>
                  </m:rPr>
                  <w:rPr>
                    <w:rFonts w:ascii="Cambria Math" w:hAnsi="Cambria Math"/>
                    <w:sz w:val="20"/>
                  </w:rPr>
                  <m:t>n</m:t>
                </m:r>
              </m:sub>
            </m:sSub>
          </m:e>
        </m:d>
      </m:oMath>
      <w:r w:rsidRPr="00211064">
        <w:rPr>
          <w:b/>
          <w:bCs/>
          <w:i/>
          <w:sz w:val="20"/>
          <w:lang w:val="en-US" w:eastAsia="en-US"/>
        </w:rPr>
        <w:t xml:space="preserve"> takes</w:t>
      </w:r>
      <w:r>
        <w:rPr>
          <w:b/>
          <w:bCs/>
          <w:i/>
          <w:sz w:val="20"/>
          <w:szCs w:val="24"/>
          <w:lang w:val="en-US" w:eastAsia="en-US"/>
        </w:rPr>
        <w:t xml:space="preserve"> into account the power</w:t>
      </w:r>
      <w:r w:rsidR="000329C7">
        <w:rPr>
          <w:b/>
          <w:bCs/>
          <w:i/>
          <w:sz w:val="20"/>
          <w:szCs w:val="24"/>
          <w:lang w:val="en-US" w:eastAsia="en-US"/>
        </w:rPr>
        <w:t>s</w:t>
      </w:r>
      <w:r>
        <w:rPr>
          <w:b/>
          <w:bCs/>
          <w:i/>
          <w:sz w:val="20"/>
          <w:szCs w:val="24"/>
          <w:lang w:val="en-US" w:eastAsia="en-US"/>
        </w:rPr>
        <w:t xml:space="preserve"> of clusters </w:t>
      </w:r>
      <w:r w:rsidRPr="00B51537">
        <w:rPr>
          <w:b/>
          <w:bCs/>
          <w:i/>
          <w:sz w:val="20"/>
        </w:rPr>
        <w:t xml:space="preserve">in all target channel(s) </w:t>
      </w:r>
      <w:r w:rsidR="000329C7">
        <w:rPr>
          <w:b/>
          <w:bCs/>
          <w:i/>
          <w:sz w:val="20"/>
        </w:rPr>
        <w:t xml:space="preserve">and background channel </w:t>
      </w:r>
      <w:r w:rsidRPr="00B51537">
        <w:rPr>
          <w:b/>
          <w:bCs/>
          <w:i/>
          <w:sz w:val="20"/>
        </w:rPr>
        <w:t xml:space="preserve">for the same Tx/Rx pair. </w:t>
      </w:r>
    </w:p>
    <w:p w:rsidR="00211064" w:rsidRDefault="00211064" w:rsidP="000329C7">
      <w:pPr>
        <w:pStyle w:val="ListParagraph"/>
        <w:numPr>
          <w:ilvl w:val="0"/>
          <w:numId w:val="23"/>
        </w:numPr>
        <w:spacing w:after="120" w:line="276" w:lineRule="auto"/>
        <w:ind w:leftChars="0"/>
        <w:rPr>
          <w:b/>
          <w:bCs/>
          <w:i/>
          <w:sz w:val="20"/>
        </w:rPr>
      </w:pPr>
      <w:r w:rsidRPr="00B51537">
        <w:rPr>
          <w:b/>
          <w:bCs/>
          <w:i/>
          <w:sz w:val="20"/>
        </w:rPr>
        <w:t xml:space="preserve">Option-2:  </w:t>
      </w:r>
      <m:oMath>
        <m:r>
          <m:rPr>
            <m:sty m:val="bi"/>
          </m:rPr>
          <w:rPr>
            <w:rFonts w:ascii="Cambria Math" w:hAnsi="Cambria Math"/>
            <w:sz w:val="20"/>
          </w:rPr>
          <m:t>max</m:t>
        </m:r>
        <m:d>
          <m:dPr>
            <m:ctrlPr>
              <w:rPr>
                <w:rFonts w:ascii="Cambria Math" w:eastAsia="Times New Roman" w:hAnsi="Cambria Math"/>
                <w:b/>
                <w:bCs/>
                <w:i/>
                <w:sz w:val="20"/>
                <w:lang w:val="en-US" w:eastAsia="en-US"/>
              </w:rPr>
            </m:ctrlPr>
          </m:dPr>
          <m:e>
            <m:sSub>
              <m:sSubPr>
                <m:ctrlPr>
                  <w:rPr>
                    <w:rFonts w:ascii="Cambria Math" w:eastAsia="Times New Roman" w:hAnsi="Cambria Math"/>
                    <w:b/>
                    <w:bCs/>
                    <w:i/>
                    <w:sz w:val="20"/>
                    <w:lang w:val="en-US" w:eastAsia="en-US"/>
                  </w:rPr>
                </m:ctrlPr>
              </m:sSubPr>
              <m:e>
                <m:r>
                  <m:rPr>
                    <m:sty m:val="bi"/>
                  </m:rPr>
                  <w:rPr>
                    <w:rFonts w:ascii="Cambria Math" w:hAnsi="Cambria Math"/>
                    <w:sz w:val="20"/>
                  </w:rPr>
                  <m:t>P</m:t>
                </m:r>
              </m:e>
              <m:sub>
                <m:r>
                  <m:rPr>
                    <m:sty m:val="bi"/>
                  </m:rPr>
                  <w:rPr>
                    <w:rFonts w:ascii="Cambria Math" w:hAnsi="Cambria Math"/>
                    <w:sz w:val="20"/>
                  </w:rPr>
                  <m:t>n</m:t>
                </m:r>
              </m:sub>
            </m:sSub>
          </m:e>
        </m:d>
      </m:oMath>
      <w:r w:rsidRPr="00211064">
        <w:rPr>
          <w:b/>
          <w:bCs/>
          <w:i/>
          <w:sz w:val="20"/>
          <w:lang w:val="en-US" w:eastAsia="en-US"/>
        </w:rPr>
        <w:t xml:space="preserve"> </w:t>
      </w:r>
      <w:r>
        <w:rPr>
          <w:b/>
          <w:bCs/>
          <w:i/>
          <w:sz w:val="20"/>
          <w:lang w:val="en-US" w:eastAsia="en-US"/>
        </w:rPr>
        <w:t xml:space="preserve">does not </w:t>
      </w:r>
      <w:r w:rsidRPr="00211064">
        <w:rPr>
          <w:b/>
          <w:bCs/>
          <w:i/>
          <w:sz w:val="20"/>
          <w:lang w:val="en-US" w:eastAsia="en-US"/>
        </w:rPr>
        <w:t>take</w:t>
      </w:r>
      <w:r>
        <w:rPr>
          <w:b/>
          <w:bCs/>
          <w:i/>
          <w:sz w:val="20"/>
          <w:szCs w:val="24"/>
          <w:lang w:val="en-US" w:eastAsia="en-US"/>
        </w:rPr>
        <w:t xml:space="preserve"> into account the power</w:t>
      </w:r>
      <w:r w:rsidR="000329C7">
        <w:rPr>
          <w:b/>
          <w:bCs/>
          <w:i/>
          <w:sz w:val="20"/>
          <w:szCs w:val="24"/>
          <w:lang w:val="en-US" w:eastAsia="en-US"/>
        </w:rPr>
        <w:t>s</w:t>
      </w:r>
      <w:r>
        <w:rPr>
          <w:b/>
          <w:bCs/>
          <w:i/>
          <w:sz w:val="20"/>
          <w:szCs w:val="24"/>
          <w:lang w:val="en-US" w:eastAsia="en-US"/>
        </w:rPr>
        <w:t xml:space="preserve"> of clusters</w:t>
      </w:r>
      <w:r w:rsidRPr="00B51537">
        <w:rPr>
          <w:b/>
          <w:bCs/>
          <w:i/>
          <w:sz w:val="20"/>
        </w:rPr>
        <w:t xml:space="preserve"> in any target channel</w:t>
      </w:r>
      <w:r w:rsidR="000329C7">
        <w:rPr>
          <w:b/>
          <w:bCs/>
          <w:i/>
          <w:sz w:val="20"/>
        </w:rPr>
        <w:t>, but only the ones in background channel</w:t>
      </w:r>
      <w:r w:rsidRPr="00B51537">
        <w:rPr>
          <w:b/>
          <w:bCs/>
          <w:i/>
          <w:sz w:val="20"/>
        </w:rPr>
        <w:t>.</w:t>
      </w:r>
    </w:p>
    <w:p w:rsidR="00645B42" w:rsidRPr="00645B42" w:rsidRDefault="00645B42" w:rsidP="00645B42">
      <w:pPr>
        <w:spacing w:after="120"/>
        <w:rPr>
          <w:bCs/>
        </w:rPr>
      </w:pPr>
      <w:r>
        <w:rPr>
          <w:bCs/>
        </w:rPr>
        <w:t>Although Option-2 is more aligned with the logic in existing 38.901</w:t>
      </w:r>
      <w:r w:rsidR="002C3F68">
        <w:rPr>
          <w:bCs/>
        </w:rPr>
        <w:t xml:space="preserve"> than Option-1</w:t>
      </w:r>
      <w:r>
        <w:rPr>
          <w:bCs/>
        </w:rPr>
        <w:t xml:space="preserve">, it is expected to be more complicated. Because </w:t>
      </w:r>
      <w:r w:rsidRPr="00645B42">
        <w:rPr>
          <w:bCs/>
        </w:rPr>
        <w:t xml:space="preserve">the </w:t>
      </w:r>
      <w:r>
        <w:rPr>
          <w:bCs/>
        </w:rPr>
        <w:t xml:space="preserve">comparability in </w:t>
      </w:r>
      <m:oMath>
        <m:r>
          <w:rPr>
            <w:rFonts w:ascii="Cambria Math" w:hAnsi="Cambria Math"/>
          </w:rPr>
          <m:t>max</m:t>
        </m:r>
        <m:d>
          <m:dPr>
            <m:ctrlPr>
              <w:rPr>
                <w:rFonts w:ascii="Cambria Math" w:hAnsi="Cambria Math"/>
                <w:bCs/>
                <w:i/>
              </w:rPr>
            </m:ctrlPr>
          </m:dPr>
          <m:e>
            <m:sSub>
              <m:sSubPr>
                <m:ctrlPr>
                  <w:rPr>
                    <w:rFonts w:ascii="Cambria Math" w:hAnsi="Cambria Math"/>
                    <w:bCs/>
                    <w:i/>
                  </w:rPr>
                </m:ctrlPr>
              </m:sSubPr>
              <m:e>
                <m:r>
                  <w:rPr>
                    <w:rFonts w:ascii="Cambria Math" w:hAnsi="Cambria Math"/>
                  </w:rPr>
                  <m:t>P</m:t>
                </m:r>
              </m:e>
              <m:sub>
                <m:r>
                  <w:rPr>
                    <w:rFonts w:ascii="Cambria Math" w:hAnsi="Cambria Math"/>
                  </w:rPr>
                  <m:t>n</m:t>
                </m:r>
              </m:sub>
            </m:sSub>
          </m:e>
        </m:d>
      </m:oMath>
      <w:r>
        <w:rPr>
          <w:bCs/>
        </w:rPr>
        <w:t xml:space="preserve"> assumes that the small-scale powers {</w:t>
      </w:r>
      <m:oMath>
        <m:sSub>
          <m:sSubPr>
            <m:ctrlPr>
              <w:rPr>
                <w:rFonts w:ascii="Cambria Math" w:hAnsi="Cambria Math"/>
                <w:bCs/>
                <w:i/>
              </w:rPr>
            </m:ctrlPr>
          </m:sSubPr>
          <m:e>
            <m:r>
              <w:rPr>
                <w:rFonts w:ascii="Cambria Math" w:hAnsi="Cambria Math"/>
              </w:rPr>
              <m:t>P</m:t>
            </m:r>
          </m:e>
          <m:sub>
            <m:r>
              <w:rPr>
                <w:rFonts w:ascii="Cambria Math" w:hAnsi="Cambria Math"/>
              </w:rPr>
              <m:t>n</m:t>
            </m:r>
          </m:sub>
        </m:sSub>
      </m:oMath>
      <w:r>
        <w:rPr>
          <w:bCs/>
        </w:rPr>
        <w:t xml:space="preserve">} share the same large-scale fading, then if such assumption is no longer valid since target channel(s) and background channel </w:t>
      </w:r>
      <w:r>
        <w:rPr>
          <w:bCs/>
        </w:rPr>
        <w:lastRenderedPageBreak/>
        <w:t xml:space="preserve">have different Tx-Rx large-scale fading, additional steps should be taken to ensure the comparability </w:t>
      </w:r>
      <w:r w:rsidR="00792704">
        <w:rPr>
          <w:bCs/>
        </w:rPr>
        <w:t>of end-to-end cluster powers, e.</w:t>
      </w:r>
      <w:r>
        <w:rPr>
          <w:bCs/>
        </w:rPr>
        <w:t>g</w:t>
      </w:r>
      <w:r w:rsidR="00792704">
        <w:rPr>
          <w:bCs/>
        </w:rPr>
        <w:t>.</w:t>
      </w:r>
      <w:r>
        <w:rPr>
          <w:bCs/>
        </w:rPr>
        <w:t xml:space="preserve">, </w:t>
      </w:r>
      <w:r w:rsidR="00C512BE">
        <w:rPr>
          <w:bCs/>
        </w:rPr>
        <w:t>by merging the corresponding large scale fading value into {</w:t>
      </w:r>
      <m:oMath>
        <m:sSub>
          <m:sSubPr>
            <m:ctrlPr>
              <w:rPr>
                <w:rFonts w:ascii="Cambria Math" w:hAnsi="Cambria Math"/>
                <w:bCs/>
                <w:i/>
              </w:rPr>
            </m:ctrlPr>
          </m:sSubPr>
          <m:e>
            <m:r>
              <w:rPr>
                <w:rFonts w:ascii="Cambria Math" w:hAnsi="Cambria Math"/>
              </w:rPr>
              <m:t>P</m:t>
            </m:r>
          </m:e>
          <m:sub>
            <m:r>
              <w:rPr>
                <w:rFonts w:ascii="Cambria Math" w:hAnsi="Cambria Math"/>
              </w:rPr>
              <m:t>n</m:t>
            </m:r>
          </m:sub>
        </m:sSub>
      </m:oMath>
      <w:r w:rsidR="002C3F68">
        <w:rPr>
          <w:bCs/>
        </w:rPr>
        <w:t>}</w:t>
      </w:r>
      <w:r w:rsidR="00C512BE">
        <w:rPr>
          <w:bCs/>
        </w:rPr>
        <w:t xml:space="preserve">. </w:t>
      </w:r>
    </w:p>
    <w:p w:rsidR="00440CAD" w:rsidRDefault="00697913" w:rsidP="000329C7">
      <w:pPr>
        <w:spacing w:before="240"/>
        <w:rPr>
          <w:b/>
          <w:i/>
          <w:iCs/>
          <w:u w:val="single"/>
        </w:rPr>
      </w:pPr>
      <w:r>
        <w:rPr>
          <w:b/>
          <w:i/>
          <w:iCs/>
          <w:u w:val="single"/>
        </w:rPr>
        <w:t xml:space="preserve">Background channel in monostatic Tx/Rx geometry  </w:t>
      </w:r>
    </w:p>
    <w:p w:rsidR="00440CAD" w:rsidRDefault="00792704">
      <w:pPr>
        <w:rPr>
          <w:bCs/>
        </w:rPr>
      </w:pPr>
      <w:r>
        <w:rPr>
          <w:bCs/>
        </w:rPr>
        <w:t xml:space="preserve">RAN1 #118bis agreed three options for mono-static background channel modeling: </w:t>
      </w:r>
    </w:p>
    <w:tbl>
      <w:tblPr>
        <w:tblStyle w:val="TableGrid"/>
        <w:tblW w:w="0" w:type="auto"/>
        <w:tblLook w:val="04A0" w:firstRow="1" w:lastRow="0" w:firstColumn="1" w:lastColumn="0" w:noHBand="0" w:noVBand="1"/>
      </w:tblPr>
      <w:tblGrid>
        <w:gridCol w:w="9288"/>
      </w:tblGrid>
      <w:tr w:rsidR="00792704" w:rsidTr="00792704">
        <w:tc>
          <w:tcPr>
            <w:tcW w:w="9288" w:type="dxa"/>
          </w:tcPr>
          <w:p w:rsidR="00792704" w:rsidRPr="00836D9F" w:rsidRDefault="00792704" w:rsidP="00792704">
            <w:pPr>
              <w:spacing w:after="0"/>
              <w:jc w:val="both"/>
              <w:rPr>
                <w:rFonts w:eastAsia="Malgun Gothic"/>
                <w:szCs w:val="20"/>
                <w:highlight w:val="green"/>
              </w:rPr>
            </w:pPr>
            <w:r w:rsidRPr="00836D9F">
              <w:rPr>
                <w:rFonts w:eastAsia="Malgun Gothic"/>
                <w:szCs w:val="20"/>
                <w:highlight w:val="green"/>
              </w:rPr>
              <w:t>Agreement</w:t>
            </w:r>
          </w:p>
          <w:p w:rsidR="00792704" w:rsidRPr="00F85662" w:rsidRDefault="00792704" w:rsidP="00792704">
            <w:pPr>
              <w:tabs>
                <w:tab w:val="left" w:pos="0"/>
              </w:tabs>
              <w:spacing w:after="0"/>
              <w:rPr>
                <w:rFonts w:eastAsia="DengXian"/>
                <w:szCs w:val="20"/>
                <w:lang w:eastAsia="zh-CN"/>
              </w:rPr>
            </w:pPr>
            <w:r w:rsidRPr="00F85662">
              <w:rPr>
                <w:rFonts w:eastAsia="DengXian"/>
                <w:szCs w:val="20"/>
                <w:lang w:eastAsia="zh-CN"/>
              </w:rPr>
              <w:t xml:space="preserve">In order to define the background channel for </w:t>
            </w:r>
            <w:r w:rsidRPr="00F85662">
              <w:rPr>
                <w:szCs w:val="20"/>
              </w:rPr>
              <w:t xml:space="preserve">TRP and UE </w:t>
            </w:r>
            <w:r w:rsidRPr="00F85662">
              <w:rPr>
                <w:rFonts w:eastAsia="SimSun"/>
                <w:szCs w:val="20"/>
                <w:lang w:eastAsia="zh-CN"/>
              </w:rPr>
              <w:t>mono-static</w:t>
            </w:r>
            <w:r w:rsidRPr="00F85662">
              <w:rPr>
                <w:szCs w:val="20"/>
              </w:rPr>
              <w:t xml:space="preserve"> sensing mode</w:t>
            </w:r>
            <w:r w:rsidRPr="00F85662">
              <w:rPr>
                <w:rFonts w:eastAsia="DengXian"/>
                <w:szCs w:val="20"/>
                <w:lang w:eastAsia="zh-CN"/>
              </w:rPr>
              <w:t>,</w:t>
            </w:r>
          </w:p>
          <w:p w:rsidR="00792704" w:rsidRPr="00F85662" w:rsidRDefault="00792704" w:rsidP="00792704">
            <w:pPr>
              <w:numPr>
                <w:ilvl w:val="0"/>
                <w:numId w:val="25"/>
              </w:numPr>
              <w:tabs>
                <w:tab w:val="left" w:pos="0"/>
              </w:tabs>
              <w:suppressAutoHyphens/>
              <w:spacing w:after="0" w:line="240" w:lineRule="auto"/>
              <w:rPr>
                <w:szCs w:val="20"/>
              </w:rPr>
            </w:pPr>
            <w:r w:rsidRPr="00F85662">
              <w:rPr>
                <w:rFonts w:eastAsia="DengXian"/>
                <w:szCs w:val="20"/>
                <w:lang w:eastAsia="zh-CN"/>
              </w:rPr>
              <w:t>RAN1 to study how to model the background channel</w:t>
            </w:r>
          </w:p>
          <w:p w:rsidR="00792704" w:rsidRPr="00F85662" w:rsidRDefault="00792704" w:rsidP="00792704">
            <w:pPr>
              <w:numPr>
                <w:ilvl w:val="1"/>
                <w:numId w:val="25"/>
              </w:numPr>
              <w:tabs>
                <w:tab w:val="left" w:pos="0"/>
              </w:tabs>
              <w:suppressAutoHyphens/>
              <w:spacing w:after="0" w:line="240" w:lineRule="auto"/>
              <w:rPr>
                <w:szCs w:val="20"/>
              </w:rPr>
            </w:pPr>
            <w:r w:rsidRPr="00F85662">
              <w:rPr>
                <w:rFonts w:eastAsia="SimSun"/>
                <w:szCs w:val="20"/>
                <w:lang w:eastAsia="zh-CN"/>
              </w:rPr>
              <w:t>Option 1: randomly drop at least one virtual Rx, and then the background channel is generated based on the channel generated as TR 38.901 between the real Tx and each virtual Rx for a scenario.</w:t>
            </w:r>
          </w:p>
          <w:p w:rsidR="00792704" w:rsidRPr="00F85662" w:rsidRDefault="00792704" w:rsidP="00792704">
            <w:pPr>
              <w:numPr>
                <w:ilvl w:val="2"/>
                <w:numId w:val="25"/>
              </w:numPr>
              <w:tabs>
                <w:tab w:val="left" w:pos="0"/>
              </w:tabs>
              <w:suppressAutoHyphens/>
              <w:spacing w:after="0" w:line="240" w:lineRule="auto"/>
              <w:rPr>
                <w:szCs w:val="20"/>
                <w:lang w:eastAsia="zh-CN"/>
              </w:rPr>
            </w:pPr>
            <w:r w:rsidRPr="00F85662">
              <w:rPr>
                <w:rFonts w:eastAsia="DengXian"/>
                <w:szCs w:val="20"/>
                <w:lang w:eastAsia="zh-CN"/>
              </w:rPr>
              <w:t>FFS EO is modelled in the background channel.</w:t>
            </w:r>
          </w:p>
          <w:p w:rsidR="00792704" w:rsidRPr="00F85662" w:rsidRDefault="00792704" w:rsidP="00792704">
            <w:pPr>
              <w:numPr>
                <w:ilvl w:val="1"/>
                <w:numId w:val="25"/>
              </w:numPr>
              <w:tabs>
                <w:tab w:val="left" w:pos="0"/>
              </w:tabs>
              <w:suppressAutoHyphens/>
              <w:spacing w:after="0" w:line="240" w:lineRule="auto"/>
              <w:rPr>
                <w:szCs w:val="20"/>
              </w:rPr>
            </w:pPr>
            <w:r w:rsidRPr="00F85662">
              <w:rPr>
                <w:rFonts w:eastAsia="SimSun"/>
                <w:szCs w:val="20"/>
                <w:lang w:eastAsia="zh-CN"/>
              </w:rPr>
              <w:t xml:space="preserve">Option 2: </w:t>
            </w:r>
            <w:r w:rsidRPr="00F85662">
              <w:rPr>
                <w:rFonts w:eastAsia="DengXian"/>
                <w:szCs w:val="20"/>
                <w:lang w:eastAsia="zh-CN"/>
              </w:rPr>
              <w:t>New channel model based on measurement results or ray-tracing model validated by experimental results or radar literatures.</w:t>
            </w:r>
          </w:p>
          <w:p w:rsidR="00792704" w:rsidRPr="00F85662" w:rsidRDefault="00792704" w:rsidP="00792704">
            <w:pPr>
              <w:numPr>
                <w:ilvl w:val="2"/>
                <w:numId w:val="25"/>
              </w:numPr>
              <w:tabs>
                <w:tab w:val="left" w:pos="0"/>
              </w:tabs>
              <w:suppressAutoHyphens/>
              <w:spacing w:after="0" w:line="240" w:lineRule="auto"/>
              <w:rPr>
                <w:szCs w:val="20"/>
                <w:lang w:eastAsia="zh-CN"/>
              </w:rPr>
            </w:pPr>
            <w:r w:rsidRPr="00F85662">
              <w:rPr>
                <w:rFonts w:eastAsia="DengXian"/>
                <w:szCs w:val="20"/>
                <w:lang w:eastAsia="zh-CN"/>
              </w:rPr>
              <w:t>FFS EO is modelled in the background channel.</w:t>
            </w:r>
          </w:p>
          <w:p w:rsidR="00792704" w:rsidRPr="00F85662" w:rsidRDefault="00792704" w:rsidP="00792704">
            <w:pPr>
              <w:numPr>
                <w:ilvl w:val="1"/>
                <w:numId w:val="25"/>
              </w:numPr>
              <w:tabs>
                <w:tab w:val="left" w:pos="0"/>
              </w:tabs>
              <w:suppressAutoHyphens/>
              <w:spacing w:after="0" w:line="240" w:lineRule="auto"/>
              <w:rPr>
                <w:szCs w:val="20"/>
              </w:rPr>
            </w:pPr>
            <w:r w:rsidRPr="00F85662">
              <w:rPr>
                <w:rFonts w:eastAsia="SimSun"/>
                <w:szCs w:val="20"/>
                <w:lang w:eastAsia="zh-CN"/>
              </w:rPr>
              <w:t>Option 3: the locations of clusters in the target channel are deterministically generated, then the background channel is generated using the clusters with the determined locations.</w:t>
            </w:r>
          </w:p>
          <w:p w:rsidR="00792704" w:rsidRPr="00792704" w:rsidRDefault="00792704" w:rsidP="00792704">
            <w:pPr>
              <w:numPr>
                <w:ilvl w:val="1"/>
                <w:numId w:val="25"/>
              </w:numPr>
              <w:tabs>
                <w:tab w:val="left" w:pos="0"/>
              </w:tabs>
              <w:suppressAutoHyphens/>
              <w:spacing w:after="0" w:line="240" w:lineRule="auto"/>
              <w:rPr>
                <w:szCs w:val="20"/>
              </w:rPr>
            </w:pPr>
            <w:r w:rsidRPr="00F85662">
              <w:rPr>
                <w:rFonts w:eastAsia="SimSun"/>
                <w:szCs w:val="20"/>
                <w:lang w:eastAsia="zh-CN"/>
              </w:rPr>
              <w:t>Other options are not precluded.</w:t>
            </w:r>
          </w:p>
        </w:tc>
      </w:tr>
    </w:tbl>
    <w:p w:rsidR="0058670C" w:rsidRDefault="00C26225" w:rsidP="00C26225">
      <w:pPr>
        <w:spacing w:before="240"/>
        <w:rPr>
          <w:bCs/>
        </w:rPr>
      </w:pPr>
      <w:r>
        <w:rPr>
          <w:bCs/>
        </w:rPr>
        <w:t xml:space="preserve">Among the three options, Option-3 builds the background channel based on deterministic clusters and therefore may lose the generality of stochastic model property. Option 1 and Option 2 </w:t>
      </w:r>
      <w:r w:rsidR="008F1D64">
        <w:rPr>
          <w:bCs/>
        </w:rPr>
        <w:t xml:space="preserve">have the similar workload for measurement and/or ray-tracing simulations, but end up </w:t>
      </w:r>
      <w:r w:rsidR="002228BB">
        <w:rPr>
          <w:bCs/>
        </w:rPr>
        <w:t>with different modeling outputs. Take an example for pathloss,</w:t>
      </w:r>
      <w:r w:rsidR="008F1D64">
        <w:rPr>
          <w:bCs/>
        </w:rPr>
        <w:t xml:space="preserve">  Option-1 may have fewer footprints in 38.901 since it only gives virtual Rx’s 3D location (d</w:t>
      </w:r>
      <w:r w:rsidR="008F1D64" w:rsidRPr="008F1D64">
        <w:rPr>
          <w:bCs/>
          <w:vertAlign w:val="subscript"/>
        </w:rPr>
        <w:t>2D</w:t>
      </w:r>
      <w:r w:rsidR="008F1D64">
        <w:rPr>
          <w:bCs/>
          <w:vertAlign w:val="subscript"/>
        </w:rPr>
        <w:t>,</w:t>
      </w:r>
      <w:r w:rsidR="008F1D64" w:rsidRPr="008F1D64">
        <w:rPr>
          <w:bCs/>
          <w:vertAlign w:val="subscript"/>
        </w:rPr>
        <w:t>vRx</w:t>
      </w:r>
      <w:r w:rsidR="008F1D64">
        <w:rPr>
          <w:bCs/>
        </w:rPr>
        <w:t>, height</w:t>
      </w:r>
      <w:r w:rsidR="008F1D64" w:rsidRPr="008F1D64">
        <w:rPr>
          <w:bCs/>
          <w:vertAlign w:val="subscript"/>
        </w:rPr>
        <w:t>vRx</w:t>
      </w:r>
      <w:r w:rsidR="008F1D64">
        <w:rPr>
          <w:bCs/>
        </w:rPr>
        <w:t xml:space="preserve">) that is to be applied to existing gNB-UE pathloss formula to derive the equivalent mono-static pathloss; Option-2 would generate new </w:t>
      </w:r>
      <w:r w:rsidR="002228BB">
        <w:rPr>
          <w:bCs/>
        </w:rPr>
        <w:t xml:space="preserve">table rows into </w:t>
      </w:r>
      <w:r w:rsidR="008F1D64">
        <w:rPr>
          <w:bCs/>
        </w:rPr>
        <w:t xml:space="preserve">Table </w:t>
      </w:r>
      <w:r w:rsidR="002228BB">
        <w:rPr>
          <w:bCs/>
        </w:rPr>
        <w:t>7.4.1-1 in 38.901</w:t>
      </w:r>
      <w:r w:rsidR="00F30FC1">
        <w:rPr>
          <w:bCs/>
        </w:rPr>
        <w:t xml:space="preserve">. </w:t>
      </w:r>
      <w:r w:rsidR="0058670C">
        <w:rPr>
          <w:bCs/>
        </w:rPr>
        <w:t>Because the pathloss value output from Option-1 would never exceed the value range allowed by existing pathloss formula for the same scenario, Option-1 can be a good way to go i</w:t>
      </w:r>
      <w:r w:rsidR="00F30FC1">
        <w:rPr>
          <w:bCs/>
        </w:rPr>
        <w:t>f the pathloss value range given in Option-2 never exceeds the pathloss value range (corresponding to range of d</w:t>
      </w:r>
      <w:r w:rsidR="00F30FC1" w:rsidRPr="00F30FC1">
        <w:rPr>
          <w:bCs/>
          <w:vertAlign w:val="subscript"/>
        </w:rPr>
        <w:t>2D</w:t>
      </w:r>
      <w:r w:rsidR="00F30FC1">
        <w:rPr>
          <w:bCs/>
        </w:rPr>
        <w:t>) in existing pathloss formulation for t</w:t>
      </w:r>
      <w:r w:rsidR="0058670C">
        <w:rPr>
          <w:bCs/>
        </w:rPr>
        <w:t xml:space="preserve">he same scenario. In addition, the proponents of Option-1 may need to clarify whether the other parameter modeling, such as the cluster delay and angle modeling, needs determination of other virtual Rx. </w:t>
      </w:r>
    </w:p>
    <w:p w:rsidR="00300211" w:rsidRPr="00300211" w:rsidRDefault="0058670C" w:rsidP="00300211">
      <w:pPr>
        <w:spacing w:after="120"/>
        <w:rPr>
          <w:b/>
          <w:bCs/>
          <w:i/>
        </w:rPr>
      </w:pPr>
      <w:r w:rsidRPr="00300211">
        <w:rPr>
          <w:b/>
          <w:bCs/>
          <w:i/>
        </w:rPr>
        <w:t>Proposal 9: Among the three options from RAN1 #118bis for mono-static background channel</w:t>
      </w:r>
      <w:r w:rsidR="00300211" w:rsidRPr="00300211">
        <w:rPr>
          <w:b/>
          <w:bCs/>
          <w:i/>
        </w:rPr>
        <w:t xml:space="preserve"> pathloss modeling</w:t>
      </w:r>
      <w:r w:rsidRPr="00300211">
        <w:rPr>
          <w:b/>
          <w:bCs/>
          <w:i/>
        </w:rPr>
        <w:t>,</w:t>
      </w:r>
      <w:r w:rsidR="00300211" w:rsidRPr="00300211">
        <w:rPr>
          <w:b/>
          <w:bCs/>
          <w:i/>
        </w:rPr>
        <w:t xml:space="preserve"> Option-1 can be chosen if the pathloss value range of the mono-static channel is proved to never exceed the pathloss value range of existing Tx-Rx pathloss model for the same scenario. </w:t>
      </w:r>
    </w:p>
    <w:p w:rsidR="00C26225" w:rsidRPr="00300211" w:rsidRDefault="00300211" w:rsidP="00300211">
      <w:pPr>
        <w:pStyle w:val="ListParagraph"/>
        <w:numPr>
          <w:ilvl w:val="0"/>
          <w:numId w:val="26"/>
        </w:numPr>
        <w:spacing w:after="120" w:line="276" w:lineRule="auto"/>
        <w:ind w:leftChars="0"/>
        <w:rPr>
          <w:b/>
          <w:bCs/>
          <w:i/>
          <w:sz w:val="20"/>
        </w:rPr>
      </w:pPr>
      <w:r w:rsidRPr="00300211">
        <w:rPr>
          <w:b/>
          <w:bCs/>
          <w:i/>
          <w:sz w:val="20"/>
        </w:rPr>
        <w:t>For Option-1, it should be clarif</w:t>
      </w:r>
      <w:r>
        <w:rPr>
          <w:b/>
          <w:bCs/>
          <w:i/>
          <w:sz w:val="20"/>
        </w:rPr>
        <w:t>ied</w:t>
      </w:r>
      <w:r w:rsidRPr="00300211">
        <w:rPr>
          <w:b/>
          <w:bCs/>
          <w:i/>
          <w:sz w:val="20"/>
        </w:rPr>
        <w:t xml:space="preserve"> whether other statistical modelling, such as time-delay and departure/arrival angles, need separate determinations of virtual Rx. </w:t>
      </w:r>
    </w:p>
    <w:p w:rsidR="00440CAD" w:rsidRDefault="00697913">
      <w:pPr>
        <w:numPr>
          <w:ilvl w:val="1"/>
          <w:numId w:val="1"/>
        </w:numPr>
        <w:rPr>
          <w:bCs/>
        </w:rPr>
      </w:pPr>
      <w:r>
        <w:rPr>
          <w:bCs/>
        </w:rPr>
        <w:t>Spatial consistency</w:t>
      </w:r>
    </w:p>
    <w:p w:rsidR="00440CAD" w:rsidRDefault="00697913">
      <w:pPr>
        <w:spacing w:line="256" w:lineRule="auto"/>
        <w:jc w:val="both"/>
      </w:pPr>
      <w:r>
        <w:t xml:space="preserve">Spatial consistency is intended to model that the channel involving with location A and the channel involving with location B are similar or correlated if A and B are sufficiently close to each other. In current 38.901, spatial consistency is captured via spatial correlation (Sec.7.5, 7.6.3.1 and 7.6.3.3) and spatially consistent mobility (Sec. 7.6.3.2). These existing methodologies for spatial consistency should be kept in ISAC channel model. </w:t>
      </w:r>
    </w:p>
    <w:p w:rsidR="00440CAD" w:rsidRDefault="00697913">
      <w:pPr>
        <w:spacing w:after="0" w:line="257" w:lineRule="auto"/>
        <w:jc w:val="both"/>
        <w:rPr>
          <w:rFonts w:eastAsiaTheme="minorEastAsia"/>
          <w:lang w:eastAsia="zh-CN"/>
        </w:rPr>
      </w:pPr>
      <w:r>
        <w:rPr>
          <w:rFonts w:eastAsiaTheme="minorEastAsia"/>
          <w:lang w:eastAsia="zh-CN"/>
        </w:rPr>
        <w:t xml:space="preserve">With a target object emerging into channel model, the needs of new spatial consistency modeling can be discussed from three categories: </w:t>
      </w:r>
    </w:p>
    <w:p w:rsidR="00440CAD" w:rsidRDefault="00697913">
      <w:pPr>
        <w:pStyle w:val="ListParagraph"/>
        <w:numPr>
          <w:ilvl w:val="0"/>
          <w:numId w:val="11"/>
        </w:numPr>
        <w:spacing w:line="256" w:lineRule="auto"/>
        <w:ind w:leftChars="0"/>
        <w:jc w:val="both"/>
        <w:rPr>
          <w:rFonts w:eastAsiaTheme="minorEastAsia"/>
          <w:sz w:val="20"/>
          <w:lang w:eastAsia="zh-CN"/>
        </w:rPr>
      </w:pPr>
      <w:r>
        <w:rPr>
          <w:rFonts w:eastAsiaTheme="minorEastAsia"/>
          <w:sz w:val="20"/>
          <w:lang w:eastAsia="zh-CN"/>
        </w:rPr>
        <w:t xml:space="preserve">The spatial consistency within one Tx-target-Rx geometry, including: </w:t>
      </w:r>
    </w:p>
    <w:p w:rsidR="00440CAD" w:rsidRDefault="00697913">
      <w:pPr>
        <w:pStyle w:val="ListParagraph"/>
        <w:numPr>
          <w:ilvl w:val="1"/>
          <w:numId w:val="11"/>
        </w:numPr>
        <w:spacing w:line="256" w:lineRule="auto"/>
        <w:ind w:leftChars="0"/>
        <w:jc w:val="both"/>
        <w:rPr>
          <w:rFonts w:eastAsiaTheme="minorEastAsia"/>
          <w:sz w:val="20"/>
          <w:lang w:eastAsia="zh-CN"/>
        </w:rPr>
      </w:pPr>
      <w:r>
        <w:rPr>
          <w:rFonts w:eastAsiaTheme="minorEastAsia"/>
          <w:sz w:val="20"/>
          <w:lang w:eastAsia="zh-CN"/>
        </w:rPr>
        <w:t xml:space="preserve">Consistency </w:t>
      </w:r>
      <w:r w:rsidR="00AE2BAD">
        <w:rPr>
          <w:rFonts w:eastAsiaTheme="minorEastAsia"/>
          <w:sz w:val="20"/>
          <w:lang w:eastAsia="zh-CN"/>
        </w:rPr>
        <w:t>among three links of {Tx-target, target-Rx, Tx-Rx}</w:t>
      </w:r>
    </w:p>
    <w:p w:rsidR="00440CAD" w:rsidRDefault="00AE2BAD">
      <w:pPr>
        <w:pStyle w:val="ListParagraph"/>
        <w:spacing w:line="256" w:lineRule="auto"/>
        <w:ind w:leftChars="0" w:left="1800"/>
        <w:jc w:val="both"/>
        <w:rPr>
          <w:rFonts w:eastAsiaTheme="minorEastAsia"/>
          <w:sz w:val="20"/>
          <w:lang w:eastAsia="zh-CN"/>
        </w:rPr>
      </w:pPr>
      <w:r>
        <w:rPr>
          <w:rFonts w:eastAsiaTheme="minorEastAsia"/>
          <w:sz w:val="20"/>
          <w:lang w:eastAsia="zh-CN"/>
        </w:rPr>
        <w:t xml:space="preserve">Because RAN1 agrees to split Tx-target-Rx link into two separate Tx-target and target-Rx links with concatenation, </w:t>
      </w:r>
      <w:r w:rsidR="00946A01">
        <w:rPr>
          <w:rFonts w:eastAsiaTheme="minorEastAsia"/>
          <w:sz w:val="20"/>
          <w:lang w:eastAsia="zh-CN"/>
        </w:rPr>
        <w:t>the consistency over this triangular geometry is something new to the ISAC channel model</w:t>
      </w:r>
      <w:r w:rsidR="00697913">
        <w:rPr>
          <w:rFonts w:eastAsiaTheme="minorEastAsia"/>
          <w:sz w:val="20"/>
          <w:lang w:eastAsia="zh-CN"/>
        </w:rPr>
        <w:t xml:space="preserve">. </w:t>
      </w:r>
    </w:p>
    <w:p w:rsidR="00440CAD" w:rsidRDefault="00697913">
      <w:pPr>
        <w:pStyle w:val="ListParagraph"/>
        <w:numPr>
          <w:ilvl w:val="1"/>
          <w:numId w:val="11"/>
        </w:numPr>
        <w:spacing w:line="256" w:lineRule="auto"/>
        <w:ind w:leftChars="0"/>
        <w:jc w:val="both"/>
        <w:rPr>
          <w:rFonts w:eastAsiaTheme="minorEastAsia"/>
          <w:sz w:val="20"/>
          <w:lang w:eastAsia="zh-CN"/>
        </w:rPr>
      </w:pPr>
      <w:r>
        <w:rPr>
          <w:rFonts w:eastAsiaTheme="minorEastAsia"/>
          <w:sz w:val="20"/>
          <w:lang w:eastAsia="zh-CN"/>
        </w:rPr>
        <w:t xml:space="preserve">Consistency between target channels with a target moving around close locations </w:t>
      </w:r>
    </w:p>
    <w:p w:rsidR="00440CAD" w:rsidRDefault="00697913">
      <w:pPr>
        <w:pStyle w:val="ListParagraph"/>
        <w:spacing w:line="256" w:lineRule="auto"/>
        <w:ind w:leftChars="0" w:left="1800"/>
        <w:jc w:val="both"/>
        <w:rPr>
          <w:rFonts w:eastAsiaTheme="minorEastAsia"/>
          <w:sz w:val="20"/>
          <w:lang w:eastAsia="zh-CN"/>
        </w:rPr>
      </w:pPr>
      <w:r>
        <w:rPr>
          <w:rFonts w:eastAsiaTheme="minorEastAsia"/>
          <w:sz w:val="20"/>
          <w:lang w:eastAsia="zh-CN"/>
        </w:rPr>
        <w:t xml:space="preserve">As BS/UT mobility consistency is considered in current 38.901, we expect the mobility consistency should be also considered in ISAC channel model. </w:t>
      </w:r>
    </w:p>
    <w:p w:rsidR="00440CAD" w:rsidRPr="00817245" w:rsidRDefault="00697913" w:rsidP="00817245">
      <w:pPr>
        <w:pStyle w:val="ListParagraph"/>
        <w:numPr>
          <w:ilvl w:val="0"/>
          <w:numId w:val="11"/>
        </w:numPr>
        <w:spacing w:line="256" w:lineRule="auto"/>
        <w:ind w:leftChars="0"/>
        <w:jc w:val="both"/>
        <w:rPr>
          <w:rFonts w:eastAsiaTheme="minorEastAsia"/>
          <w:sz w:val="20"/>
          <w:lang w:eastAsia="zh-CN"/>
        </w:rPr>
      </w:pPr>
      <w:r>
        <w:rPr>
          <w:rFonts w:eastAsiaTheme="minorEastAsia"/>
          <w:sz w:val="20"/>
          <w:lang w:eastAsia="zh-CN"/>
        </w:rPr>
        <w:lastRenderedPageBreak/>
        <w:t>The spatial consistency between different Tx-Target-Rx geometr</w:t>
      </w:r>
      <w:r w:rsidR="00946A01">
        <w:rPr>
          <w:rFonts w:eastAsiaTheme="minorEastAsia"/>
          <w:sz w:val="20"/>
          <w:lang w:val="en-US" w:eastAsia="zh-CN"/>
        </w:rPr>
        <w:t>ies</w:t>
      </w:r>
      <w:r>
        <w:rPr>
          <w:rFonts w:eastAsiaTheme="minorEastAsia"/>
          <w:sz w:val="20"/>
          <w:lang w:eastAsia="zh-CN"/>
        </w:rPr>
        <w:t>, including</w:t>
      </w:r>
      <w:r w:rsidR="00817245">
        <w:rPr>
          <w:rFonts w:eastAsiaTheme="minorEastAsia"/>
          <w:sz w:val="20"/>
          <w:lang w:eastAsia="zh-CN"/>
        </w:rPr>
        <w:t xml:space="preserve"> the</w:t>
      </w:r>
      <w:r w:rsidRPr="00817245">
        <w:rPr>
          <w:rFonts w:eastAsiaTheme="minorEastAsia"/>
          <w:sz w:val="20"/>
          <w:lang w:eastAsia="zh-CN"/>
        </w:rPr>
        <w:t xml:space="preserve"> multi-static sensing </w:t>
      </w:r>
      <w:r w:rsidR="00817245">
        <w:rPr>
          <w:rFonts w:eastAsiaTheme="minorEastAsia"/>
          <w:sz w:val="20"/>
          <w:lang w:eastAsia="zh-CN"/>
        </w:rPr>
        <w:t xml:space="preserve">case </w:t>
      </w:r>
      <w:r w:rsidRPr="00817245">
        <w:rPr>
          <w:rFonts w:eastAsiaTheme="minorEastAsia"/>
          <w:sz w:val="20"/>
          <w:lang w:eastAsia="zh-CN"/>
        </w:rPr>
        <w:t>where different Tx-Target-Rx geometries share the same Target but different Tx and/or Rx</w:t>
      </w:r>
      <w:r w:rsidR="00946A01" w:rsidRPr="00817245">
        <w:rPr>
          <w:rFonts w:eastAsiaTheme="minorEastAsia"/>
          <w:sz w:val="20"/>
          <w:lang w:eastAsia="zh-CN"/>
        </w:rPr>
        <w:t>, or the same pair of Tx/Rx but different targets</w:t>
      </w:r>
      <w:r w:rsidRPr="00817245">
        <w:rPr>
          <w:rFonts w:eastAsiaTheme="minorEastAsia"/>
          <w:sz w:val="20"/>
          <w:lang w:eastAsia="zh-CN"/>
        </w:rPr>
        <w:t xml:space="preserve">. </w:t>
      </w:r>
    </w:p>
    <w:p w:rsidR="00440CAD" w:rsidRDefault="00697913" w:rsidP="00817245">
      <w:pPr>
        <w:pStyle w:val="ListParagraph"/>
        <w:spacing w:line="256" w:lineRule="auto"/>
        <w:ind w:leftChars="0" w:left="810"/>
        <w:jc w:val="both"/>
        <w:rPr>
          <w:rFonts w:eastAsiaTheme="minorEastAsia"/>
          <w:sz w:val="20"/>
          <w:lang w:eastAsia="zh-CN"/>
        </w:rPr>
      </w:pPr>
      <w:r>
        <w:rPr>
          <w:rFonts w:eastAsiaTheme="minorEastAsia"/>
          <w:sz w:val="20"/>
          <w:lang w:val="en-US" w:eastAsia="zh-CN"/>
        </w:rPr>
        <w:t xml:space="preserve">In the current 38.901, the spatial consistency is already provided by linking random value generation to a grid coordination on a 2D plain. Therefore the spatial consistency for two channels, such as Tx-Target-Rx1 and Tx-Target-Rx2, can be somehow already there given the two channels adopt the correlated random values for the same Tx location and the same Target location. Meanwhile, it can be a FFS whether additional spatial consistency is needed.  </w:t>
      </w:r>
      <w:r>
        <w:rPr>
          <w:rFonts w:eastAsiaTheme="minorEastAsia"/>
          <w:sz w:val="20"/>
          <w:lang w:eastAsia="zh-CN"/>
        </w:rPr>
        <w:t xml:space="preserve"> </w:t>
      </w:r>
    </w:p>
    <w:p w:rsidR="00440CAD" w:rsidRDefault="00697913">
      <w:pPr>
        <w:pStyle w:val="ListParagraph"/>
        <w:numPr>
          <w:ilvl w:val="0"/>
          <w:numId w:val="11"/>
        </w:numPr>
        <w:spacing w:line="256" w:lineRule="auto"/>
        <w:ind w:leftChars="0"/>
        <w:jc w:val="both"/>
        <w:rPr>
          <w:rFonts w:eastAsiaTheme="minorEastAsia"/>
          <w:sz w:val="20"/>
          <w:lang w:eastAsia="zh-CN"/>
        </w:rPr>
      </w:pPr>
      <w:r>
        <w:rPr>
          <w:rFonts w:eastAsiaTheme="minorEastAsia"/>
          <w:sz w:val="20"/>
          <w:lang w:val="en-US" w:eastAsia="zh-CN"/>
        </w:rPr>
        <w:t>The enhancement to existing spatial consistency methodology, independently from Tx-Target-Rx geometry construction</w:t>
      </w:r>
      <w:r>
        <w:rPr>
          <w:rFonts w:eastAsiaTheme="minorEastAsia"/>
          <w:sz w:val="20"/>
          <w:lang w:eastAsia="zh-CN"/>
        </w:rPr>
        <w:t>, including</w:t>
      </w:r>
      <w:r w:rsidR="00817245">
        <w:rPr>
          <w:rFonts w:eastAsiaTheme="minorEastAsia"/>
          <w:sz w:val="20"/>
          <w:lang w:eastAsia="zh-CN"/>
        </w:rPr>
        <w:t xml:space="preserve"> </w:t>
      </w:r>
      <w:r w:rsidR="00817245">
        <w:rPr>
          <w:sz w:val="20"/>
          <w:lang w:val="en-US" w:eastAsia="ko-KR"/>
        </w:rPr>
        <w:t xml:space="preserve">whether/how to enhance the 2D random process </w:t>
      </w:r>
      <w:r w:rsidR="00817245">
        <w:rPr>
          <w:sz w:val="20"/>
          <w:lang w:eastAsia="ko-KR"/>
        </w:rPr>
        <w:t>(in the horizontal plane</w:t>
      </w:r>
      <w:r w:rsidR="00817245">
        <w:rPr>
          <w:sz w:val="20"/>
          <w:lang w:val="en-US" w:eastAsia="ko-KR"/>
        </w:rPr>
        <w:t>, ref. section 7.6.3.1 in 38.901</w:t>
      </w:r>
      <w:r w:rsidR="00817245">
        <w:rPr>
          <w:sz w:val="20"/>
          <w:lang w:eastAsia="ko-KR"/>
        </w:rPr>
        <w:t xml:space="preserve">) in the current spatial consistency procedure </w:t>
      </w:r>
      <w:r w:rsidR="00817245">
        <w:rPr>
          <w:sz w:val="20"/>
          <w:lang w:val="en-US" w:eastAsia="ko-KR"/>
        </w:rPr>
        <w:t>to a 3D random process, at least for certain specific scenario or use case like UAV</w:t>
      </w:r>
    </w:p>
    <w:p w:rsidR="00440CAD" w:rsidRDefault="00440CAD">
      <w:pPr>
        <w:pStyle w:val="ListParagraph"/>
        <w:spacing w:line="256" w:lineRule="auto"/>
        <w:ind w:leftChars="0" w:left="0"/>
        <w:jc w:val="both"/>
        <w:rPr>
          <w:rFonts w:eastAsiaTheme="minorEastAsia"/>
          <w:sz w:val="20"/>
          <w:lang w:eastAsia="zh-CN"/>
        </w:rPr>
      </w:pPr>
    </w:p>
    <w:p w:rsidR="00440CAD" w:rsidRDefault="003C0E47">
      <w:pPr>
        <w:spacing w:before="120" w:after="120" w:line="257" w:lineRule="auto"/>
        <w:jc w:val="both"/>
        <w:rPr>
          <w:rFonts w:eastAsiaTheme="minorEastAsia"/>
          <w:b/>
          <w:i/>
          <w:lang w:eastAsia="zh-CN"/>
        </w:rPr>
      </w:pPr>
      <w:r>
        <w:rPr>
          <w:rFonts w:eastAsiaTheme="minorEastAsia"/>
          <w:b/>
          <w:i/>
          <w:lang w:eastAsia="zh-CN"/>
        </w:rPr>
        <w:t>Proposal 10</w:t>
      </w:r>
      <w:r w:rsidR="00697913">
        <w:rPr>
          <w:rFonts w:eastAsiaTheme="minorEastAsia"/>
          <w:b/>
          <w:i/>
          <w:lang w:eastAsia="zh-CN"/>
        </w:rPr>
        <w:t xml:space="preserve">: RAN1 discusses whether/how to model new spatial consistency for the following cases: </w:t>
      </w:r>
    </w:p>
    <w:p w:rsidR="00440CAD" w:rsidRPr="003C0E47" w:rsidRDefault="003C0E47">
      <w:pPr>
        <w:pStyle w:val="ListParagraph"/>
        <w:numPr>
          <w:ilvl w:val="0"/>
          <w:numId w:val="11"/>
        </w:numPr>
        <w:spacing w:after="120" w:line="257" w:lineRule="auto"/>
        <w:ind w:leftChars="0"/>
        <w:jc w:val="both"/>
        <w:rPr>
          <w:rFonts w:eastAsiaTheme="minorEastAsia"/>
          <w:b/>
          <w:i/>
          <w:lang w:eastAsia="zh-CN"/>
        </w:rPr>
      </w:pPr>
      <w:r w:rsidRPr="003C0E47">
        <w:rPr>
          <w:rFonts w:eastAsiaTheme="minorEastAsia"/>
          <w:b/>
          <w:i/>
          <w:sz w:val="20"/>
          <w:lang w:eastAsia="zh-CN"/>
        </w:rPr>
        <w:t>Consistency among three links of {Tx-target, target-Rx, Tx-Rx}</w:t>
      </w:r>
    </w:p>
    <w:p w:rsidR="00440CAD" w:rsidRDefault="00697913">
      <w:pPr>
        <w:pStyle w:val="ListParagraph"/>
        <w:numPr>
          <w:ilvl w:val="0"/>
          <w:numId w:val="11"/>
        </w:numPr>
        <w:spacing w:after="120" w:line="257" w:lineRule="auto"/>
        <w:ind w:leftChars="0"/>
        <w:jc w:val="both"/>
        <w:rPr>
          <w:rFonts w:eastAsiaTheme="minorEastAsia"/>
          <w:b/>
          <w:i/>
          <w:lang w:eastAsia="zh-CN"/>
        </w:rPr>
      </w:pPr>
      <w:r>
        <w:rPr>
          <w:rFonts w:eastAsiaTheme="minorEastAsia"/>
          <w:b/>
          <w:i/>
          <w:sz w:val="20"/>
          <w:lang w:eastAsia="zh-CN"/>
        </w:rPr>
        <w:t>Consistency due to target mobility around close locations</w:t>
      </w:r>
    </w:p>
    <w:p w:rsidR="00440CAD" w:rsidRPr="003E7ECA" w:rsidRDefault="00697913" w:rsidP="003E7ECA">
      <w:pPr>
        <w:pStyle w:val="ListParagraph"/>
        <w:numPr>
          <w:ilvl w:val="0"/>
          <w:numId w:val="11"/>
        </w:numPr>
        <w:spacing w:after="120" w:line="257" w:lineRule="auto"/>
        <w:ind w:leftChars="0"/>
        <w:jc w:val="both"/>
        <w:rPr>
          <w:rFonts w:eastAsiaTheme="minorEastAsia"/>
          <w:b/>
          <w:i/>
          <w:sz w:val="20"/>
          <w:lang w:eastAsia="zh-CN"/>
        </w:rPr>
      </w:pPr>
      <w:r>
        <w:rPr>
          <w:rFonts w:eastAsiaTheme="minorEastAsia"/>
          <w:b/>
          <w:i/>
          <w:sz w:val="20"/>
          <w:lang w:val="en-US" w:eastAsia="zh-CN"/>
        </w:rPr>
        <w:t xml:space="preserve">Enhancement from 2D random process to 3D random process for certain specific scenarios. </w:t>
      </w:r>
    </w:p>
    <w:p w:rsidR="00440CAD" w:rsidRDefault="00697913">
      <w:pPr>
        <w:pStyle w:val="Heading1"/>
        <w:rPr>
          <w:rFonts w:ascii="Times New Roman" w:hAnsi="Times New Roman" w:cs="Times New Roman"/>
        </w:rPr>
      </w:pPr>
      <w:r>
        <w:rPr>
          <w:rFonts w:ascii="Times New Roman" w:hAnsi="Times New Roman" w:cs="Times New Roman"/>
        </w:rPr>
        <w:t>Conclusions</w:t>
      </w:r>
    </w:p>
    <w:p w:rsidR="00440CAD" w:rsidRDefault="00697913" w:rsidP="00BD4F9D">
      <w:pPr>
        <w:pStyle w:val="BodyText"/>
        <w:spacing w:beforeLines="50" w:before="120"/>
        <w:rPr>
          <w:rFonts w:eastAsia="SimSun"/>
          <w:sz w:val="22"/>
          <w:szCs w:val="22"/>
          <w:lang w:eastAsia="zh-CN"/>
        </w:rPr>
      </w:pPr>
      <w:r>
        <w:rPr>
          <w:rFonts w:eastAsia="SimSun"/>
          <w:sz w:val="22"/>
          <w:szCs w:val="22"/>
          <w:lang w:eastAsia="zh-CN"/>
        </w:rPr>
        <w:t>This contribution is concluded with the following observations and proposals:</w:t>
      </w:r>
    </w:p>
    <w:p w:rsidR="003C0E47" w:rsidRPr="00A7711E" w:rsidRDefault="003C0E47" w:rsidP="003C0E47">
      <w:pPr>
        <w:rPr>
          <w:b/>
          <w:i/>
          <w:szCs w:val="20"/>
        </w:rPr>
      </w:pPr>
      <w:r w:rsidRPr="00A7711E">
        <w:rPr>
          <w:b/>
          <w:i/>
          <w:szCs w:val="20"/>
        </w:rPr>
        <w:t xml:space="preserve">Proposal 1: </w:t>
      </w:r>
      <w:r>
        <w:rPr>
          <w:b/>
          <w:i/>
          <w:szCs w:val="20"/>
        </w:rPr>
        <w:t>If RAN1 #118 working assumption is to be confirmed, t</w:t>
      </w:r>
      <w:r w:rsidRPr="00A7711E">
        <w:rPr>
          <w:b/>
          <w:i/>
          <w:szCs w:val="20"/>
        </w:rPr>
        <w:t>he RCS impacts to large-scale fading and small-scale fading of a target channel are formulated as</w:t>
      </w:r>
    </w:p>
    <w:p w:rsidR="003C0E47" w:rsidRPr="00BD4F9D" w:rsidRDefault="00000000" w:rsidP="003C0E47">
      <w:pPr>
        <w:rPr>
          <w:b/>
          <w:i/>
          <w:szCs w:val="20"/>
        </w:rPr>
      </w:pPr>
      <m:oMathPara>
        <m:oMath>
          <m:m>
            <m:mPr>
              <m:cGp m:val="8"/>
              <m:mcs>
                <m:mc>
                  <m:mcPr>
                    <m:count m:val="1"/>
                    <m:mcJc m:val="left"/>
                  </m:mcPr>
                </m:mc>
              </m:mcs>
              <m:ctrlPr>
                <w:rPr>
                  <w:rFonts w:ascii="Cambria Math" w:hAnsi="Cambria Math"/>
                  <w:b/>
                  <w:i/>
                  <w:szCs w:val="20"/>
                </w:rPr>
              </m:ctrlPr>
            </m:mPr>
            <m:mr>
              <m:e>
                <m:r>
                  <m:rPr>
                    <m:sty m:val="bi"/>
                  </m:rPr>
                  <w:rPr>
                    <w:rFonts w:ascii="Cambria Math" w:eastAsia="SimSun" w:hAnsi="Cambria Math"/>
                    <w:lang w:eastAsia="zh-CN"/>
                  </w:rPr>
                  <m:t>A=</m:t>
                </m:r>
                <m:nary>
                  <m:naryPr>
                    <m:chr m:val="∑"/>
                    <m:limLoc m:val="undOvr"/>
                    <m:supHide m:val="1"/>
                    <m:ctrlPr>
                      <w:rPr>
                        <w:rFonts w:ascii="Cambria Math" w:hAnsi="Cambria Math"/>
                        <w:b/>
                        <w:i/>
                      </w:rPr>
                    </m:ctrlPr>
                  </m:naryPr>
                  <m:sub>
                    <m:r>
                      <m:rPr>
                        <m:sty m:val="bi"/>
                      </m:rPr>
                      <w:rPr>
                        <w:rFonts w:ascii="Cambria Math" w:hAnsi="Cambria Math"/>
                      </w:rPr>
                      <m:t>i</m:t>
                    </m:r>
                  </m:sub>
                  <m:sup/>
                  <m:e>
                    <m:nary>
                      <m:naryPr>
                        <m:chr m:val="∑"/>
                        <m:limLoc m:val="undOvr"/>
                        <m:supHide m:val="1"/>
                        <m:ctrlPr>
                          <w:rPr>
                            <w:rFonts w:ascii="Cambria Math" w:hAnsi="Cambria Math"/>
                            <w:b/>
                            <w:i/>
                          </w:rPr>
                        </m:ctrlPr>
                      </m:naryPr>
                      <m:sub>
                        <m:r>
                          <m:rPr>
                            <m:sty m:val="bi"/>
                          </m:rPr>
                          <w:rPr>
                            <w:rFonts w:ascii="Cambria Math" w:hAnsi="Cambria Math"/>
                          </w:rPr>
                          <m:t>j</m:t>
                        </m:r>
                      </m:sub>
                      <m:sup/>
                      <m:e>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1,i</m:t>
                            </m:r>
                          </m:sub>
                        </m:sSub>
                        <m:sSub>
                          <m:sSubPr>
                            <m:ctrlPr>
                              <w:rPr>
                                <w:rFonts w:ascii="Cambria Math" w:hAnsi="Cambria Math"/>
                                <w:b/>
                                <w:i/>
                              </w:rPr>
                            </m:ctrlPr>
                          </m:sSubPr>
                          <m:e>
                            <m:r>
                              <m:rPr>
                                <m:sty m:val="bi"/>
                              </m:rPr>
                              <w:rPr>
                                <w:rFonts w:ascii="Cambria Math" w:hAnsi="Cambria Math"/>
                              </w:rPr>
                              <m:t>RCS</m:t>
                            </m:r>
                          </m:e>
                          <m:sub>
                            <m:r>
                              <m:rPr>
                                <m:sty m:val="bi"/>
                              </m:rPr>
                              <w:rPr>
                                <w:rFonts w:ascii="Cambria Math" w:hAnsi="Cambria Math"/>
                              </w:rPr>
                              <m:t>i,j</m:t>
                            </m:r>
                          </m:sub>
                        </m:sSub>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2,j</m:t>
                            </m:r>
                          </m:sub>
                        </m:sSub>
                      </m:e>
                    </m:nary>
                  </m:e>
                </m:nary>
              </m:e>
            </m:mr>
            <m:mr>
              <m:e>
                <m:sSub>
                  <m:sSubPr>
                    <m:ctrlPr>
                      <w:rPr>
                        <w:rFonts w:ascii="Cambria Math" w:hAnsi="Cambria Math"/>
                        <w:b/>
                        <w:i/>
                        <w:szCs w:val="20"/>
                      </w:rPr>
                    </m:ctrlPr>
                  </m:sSubPr>
                  <m:e>
                    <m:r>
                      <m:rPr>
                        <m:sty m:val="bi"/>
                      </m:rPr>
                      <w:rPr>
                        <w:rFonts w:ascii="Cambria Math" w:hAnsi="Cambria Math"/>
                        <w:szCs w:val="20"/>
                      </w:rPr>
                      <m:t>B</m:t>
                    </m:r>
                  </m:e>
                  <m:sub>
                    <m:r>
                      <m:rPr>
                        <m:sty m:val="bi"/>
                      </m:rPr>
                      <w:rPr>
                        <w:rFonts w:ascii="Cambria Math" w:hAnsi="Cambria Math"/>
                        <w:szCs w:val="20"/>
                      </w:rPr>
                      <m:t>i,j</m:t>
                    </m:r>
                  </m:sub>
                </m:sSub>
                <m:r>
                  <m:rPr>
                    <m:sty m:val="bi"/>
                  </m:rPr>
                  <w:rPr>
                    <w:rFonts w:ascii="Cambria Math" w:hAnsi="DejaVu Math TeX Gyre"/>
                    <w:szCs w:val="20"/>
                  </w:rPr>
                  <m:t>=</m:t>
                </m:r>
                <m:f>
                  <m:fPr>
                    <m:ctrlPr>
                      <w:rPr>
                        <w:rFonts w:ascii="Cambria Math" w:hAnsi="DejaVu Math TeX Gyre"/>
                        <w:b/>
                        <w:i/>
                        <w:szCs w:val="20"/>
                      </w:rPr>
                    </m:ctrlPr>
                  </m:fPr>
                  <m:num>
                    <m:sSub>
                      <m:sSubPr>
                        <m:ctrlPr>
                          <w:rPr>
                            <w:rFonts w:ascii="Cambria Math" w:hAnsi="Cambria Math"/>
                            <w:b/>
                            <w:i/>
                          </w:rPr>
                        </m:ctrlPr>
                      </m:sSubPr>
                      <m:e>
                        <m:r>
                          <m:rPr>
                            <m:sty m:val="bi"/>
                          </m:rPr>
                          <w:rPr>
                            <w:rFonts w:ascii="Cambria Math" w:hAnsi="Cambria Math"/>
                          </w:rPr>
                          <m:t>RCS</m:t>
                        </m:r>
                      </m:e>
                      <m:sub>
                        <m:r>
                          <m:rPr>
                            <m:sty m:val="bi"/>
                          </m:rPr>
                          <w:rPr>
                            <w:rFonts w:ascii="Cambria Math" w:hAnsi="Cambria Math"/>
                          </w:rPr>
                          <m:t>i,j</m:t>
                        </m:r>
                      </m:sub>
                    </m:sSub>
                  </m:num>
                  <m:den>
                    <m:nary>
                      <m:naryPr>
                        <m:chr m:val="∑"/>
                        <m:limLoc m:val="undOvr"/>
                        <m:supHide m:val="1"/>
                        <m:ctrlPr>
                          <w:rPr>
                            <w:rFonts w:ascii="Cambria Math" w:hAnsi="Cambria Math"/>
                            <w:b/>
                            <w:i/>
                          </w:rPr>
                        </m:ctrlPr>
                      </m:naryPr>
                      <m:sub>
                        <m:r>
                          <m:rPr>
                            <m:sty m:val="bi"/>
                          </m:rPr>
                          <w:rPr>
                            <w:rFonts w:ascii="Cambria Math" w:hAnsi="Cambria Math"/>
                          </w:rPr>
                          <m:t>k</m:t>
                        </m:r>
                      </m:sub>
                      <m:sup/>
                      <m:e>
                        <m:nary>
                          <m:naryPr>
                            <m:chr m:val="∑"/>
                            <m:limLoc m:val="undOvr"/>
                            <m:supHide m:val="1"/>
                            <m:ctrlPr>
                              <w:rPr>
                                <w:rFonts w:ascii="Cambria Math" w:hAnsi="Cambria Math"/>
                                <w:b/>
                                <w:i/>
                              </w:rPr>
                            </m:ctrlPr>
                          </m:naryPr>
                          <m:sub>
                            <m:r>
                              <m:rPr>
                                <m:sty m:val="bi"/>
                              </m:rPr>
                              <w:rPr>
                                <w:rFonts w:ascii="Cambria Math" w:hAnsi="Cambria Math"/>
                              </w:rPr>
                              <m:t>l</m:t>
                            </m:r>
                          </m:sub>
                          <m:sup/>
                          <m:e>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1,k</m:t>
                                </m:r>
                              </m:sub>
                            </m:sSub>
                            <m:sSub>
                              <m:sSubPr>
                                <m:ctrlPr>
                                  <w:rPr>
                                    <w:rFonts w:ascii="Cambria Math" w:hAnsi="Cambria Math"/>
                                    <w:b/>
                                    <w:i/>
                                  </w:rPr>
                                </m:ctrlPr>
                              </m:sSubPr>
                              <m:e>
                                <m:r>
                                  <m:rPr>
                                    <m:sty m:val="bi"/>
                                  </m:rPr>
                                  <w:rPr>
                                    <w:rFonts w:ascii="Cambria Math" w:hAnsi="Cambria Math"/>
                                  </w:rPr>
                                  <m:t>RCS</m:t>
                                </m:r>
                              </m:e>
                              <m:sub>
                                <m:r>
                                  <m:rPr>
                                    <m:sty m:val="bi"/>
                                  </m:rPr>
                                  <w:rPr>
                                    <w:rFonts w:ascii="Cambria Math" w:hAnsi="Cambria Math"/>
                                  </w:rPr>
                                  <m:t>k,l</m:t>
                                </m:r>
                              </m:sub>
                            </m:sSub>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2,l</m:t>
                                </m:r>
                              </m:sub>
                            </m:sSub>
                          </m:e>
                        </m:nary>
                      </m:e>
                    </m:nary>
                  </m:den>
                </m:f>
              </m:e>
            </m:mr>
          </m:m>
        </m:oMath>
      </m:oMathPara>
    </w:p>
    <w:p w:rsidR="003C0E47" w:rsidRPr="00A7711E" w:rsidRDefault="003C0E47" w:rsidP="003C0E47">
      <w:pPr>
        <w:rPr>
          <w:b/>
          <w:i/>
          <w:szCs w:val="20"/>
        </w:rPr>
      </w:pPr>
      <w:r w:rsidRPr="00A7711E">
        <w:rPr>
          <w:b/>
          <w:i/>
          <w:szCs w:val="20"/>
        </w:rPr>
        <w:t xml:space="preserve">where </w:t>
      </w:r>
    </w:p>
    <w:p w:rsidR="003C0E47" w:rsidRPr="00A7711E" w:rsidRDefault="00000000" w:rsidP="003C0E47">
      <w:pPr>
        <w:pStyle w:val="ListParagraph"/>
        <w:numPr>
          <w:ilvl w:val="0"/>
          <w:numId w:val="20"/>
        </w:numPr>
        <w:ind w:leftChars="0"/>
        <w:rPr>
          <w:b/>
          <w:i/>
          <w:sz w:val="20"/>
        </w:rPr>
      </w:pPr>
      <m:oMath>
        <m:sSub>
          <m:sSubPr>
            <m:ctrlPr>
              <w:rPr>
                <w:rFonts w:ascii="Cambria Math" w:hAnsi="Cambria Math"/>
                <w:b/>
                <w:i/>
                <w:sz w:val="20"/>
              </w:rPr>
            </m:ctrlPr>
          </m:sSubPr>
          <m:e>
            <m:r>
              <m:rPr>
                <m:sty m:val="bi"/>
              </m:rPr>
              <w:rPr>
                <w:rFonts w:ascii="Cambria Math" w:hAnsi="Cambria Math"/>
                <w:sz w:val="20"/>
              </w:rPr>
              <m:t>p</m:t>
            </m:r>
          </m:e>
          <m:sub>
            <m:r>
              <m:rPr>
                <m:sty m:val="bi"/>
              </m:rPr>
              <w:rPr>
                <w:rFonts w:ascii="Cambria Math" w:hAnsi="Cambria Math"/>
                <w:sz w:val="20"/>
              </w:rPr>
              <m:t>1,i</m:t>
            </m:r>
          </m:sub>
        </m:sSub>
      </m:oMath>
      <w:r w:rsidR="003C0E47" w:rsidRPr="00A7711E">
        <w:rPr>
          <w:b/>
          <w:i/>
          <w:sz w:val="20"/>
        </w:rPr>
        <w:t xml:space="preserve"> is the small-scale power of i-th incident cluster/ray on Tx-target link, and </w:t>
      </w:r>
      <m:oMath>
        <m:sSub>
          <m:sSubPr>
            <m:ctrlPr>
              <w:rPr>
                <w:rFonts w:ascii="Cambria Math" w:hAnsi="Cambria Math"/>
                <w:b/>
                <w:i/>
                <w:sz w:val="20"/>
              </w:rPr>
            </m:ctrlPr>
          </m:sSubPr>
          <m:e>
            <m:r>
              <m:rPr>
                <m:sty m:val="bi"/>
              </m:rPr>
              <w:rPr>
                <w:rFonts w:ascii="Cambria Math" w:hAnsi="Cambria Math"/>
                <w:sz w:val="20"/>
              </w:rPr>
              <m:t>p</m:t>
            </m:r>
          </m:e>
          <m:sub>
            <m:r>
              <m:rPr>
                <m:sty m:val="bi"/>
              </m:rPr>
              <w:rPr>
                <w:rFonts w:ascii="Cambria Math" w:hAnsi="Cambria Math"/>
                <w:sz w:val="20"/>
              </w:rPr>
              <m:t>2,j</m:t>
            </m:r>
          </m:sub>
        </m:sSub>
      </m:oMath>
      <w:r w:rsidR="003C0E47" w:rsidRPr="00A7711E">
        <w:rPr>
          <w:b/>
          <w:i/>
          <w:sz w:val="20"/>
        </w:rPr>
        <w:t xml:space="preserve"> is the small-scale power of j-th scattering cluster/ray on target-Rx link.</w:t>
      </w:r>
    </w:p>
    <w:p w:rsidR="003C0E47" w:rsidRPr="00A7711E" w:rsidRDefault="00000000" w:rsidP="003C0E47">
      <w:pPr>
        <w:pStyle w:val="ListParagraph"/>
        <w:numPr>
          <w:ilvl w:val="0"/>
          <w:numId w:val="20"/>
        </w:numPr>
        <w:ind w:leftChars="0"/>
        <w:rPr>
          <w:b/>
          <w:i/>
          <w:sz w:val="20"/>
        </w:rPr>
      </w:pPr>
      <m:oMath>
        <m:sSub>
          <m:sSubPr>
            <m:ctrlPr>
              <w:rPr>
                <w:rFonts w:ascii="Cambria Math" w:hAnsi="Cambria Math"/>
                <w:b/>
                <w:i/>
                <w:sz w:val="20"/>
              </w:rPr>
            </m:ctrlPr>
          </m:sSubPr>
          <m:e>
            <m:r>
              <m:rPr>
                <m:sty m:val="bi"/>
              </m:rPr>
              <w:rPr>
                <w:rFonts w:ascii="Cambria Math" w:hAnsi="Cambria Math"/>
                <w:sz w:val="20"/>
              </w:rPr>
              <m:t>RCS</m:t>
            </m:r>
          </m:e>
          <m:sub>
            <m:r>
              <m:rPr>
                <m:sty m:val="bi"/>
              </m:rPr>
              <w:rPr>
                <w:rFonts w:ascii="Cambria Math" w:hAnsi="Cambria Math"/>
                <w:sz w:val="20"/>
              </w:rPr>
              <m:t>i,j</m:t>
            </m:r>
          </m:sub>
        </m:sSub>
      </m:oMath>
      <w:r w:rsidR="003C0E47" w:rsidRPr="00A7711E">
        <w:rPr>
          <w:b/>
          <w:i/>
          <w:sz w:val="20"/>
        </w:rPr>
        <w:t xml:space="preserve"> is the RCS of target corresponding to the i-th incident cluster/ray and j-th scattering cluster/ray.  </w:t>
      </w:r>
    </w:p>
    <w:p w:rsidR="003C0E47" w:rsidRDefault="003C0E47">
      <w:pPr>
        <w:tabs>
          <w:tab w:val="left" w:pos="800"/>
        </w:tabs>
        <w:snapToGrid w:val="0"/>
        <w:spacing w:after="120" w:line="260" w:lineRule="auto"/>
        <w:rPr>
          <w:b/>
          <w:i/>
          <w:szCs w:val="20"/>
          <w:lang w:val="en-GB"/>
        </w:rPr>
      </w:pPr>
    </w:p>
    <w:p w:rsidR="003C0E47" w:rsidRPr="00003A8F" w:rsidRDefault="003C0E47" w:rsidP="003C0E47">
      <w:pPr>
        <w:spacing w:after="120"/>
        <w:rPr>
          <w:b/>
          <w:bCs/>
          <w:i/>
          <w:szCs w:val="20"/>
        </w:rPr>
      </w:pPr>
      <w:r w:rsidRPr="00003A8F">
        <w:rPr>
          <w:b/>
          <w:bCs/>
          <w:i/>
          <w:szCs w:val="20"/>
        </w:rPr>
        <w:t xml:space="preserve">Proposal 2: Both the modeling of Type-1 EO </w:t>
      </w:r>
      <w:r>
        <w:rPr>
          <w:b/>
          <w:bCs/>
          <w:i/>
          <w:szCs w:val="20"/>
        </w:rPr>
        <w:t xml:space="preserve">itself </w:t>
      </w:r>
      <w:r w:rsidRPr="00003A8F">
        <w:rPr>
          <w:b/>
          <w:bCs/>
          <w:i/>
          <w:szCs w:val="20"/>
        </w:rPr>
        <w:t xml:space="preserve">and the modeling of Tx-EO1-Rx channel follow the same methodologies of those for a sensing target and Tx-target-Rx channel. </w:t>
      </w:r>
    </w:p>
    <w:p w:rsidR="003C0E47" w:rsidRPr="00003A8F" w:rsidRDefault="003C0E47" w:rsidP="003C0E47">
      <w:pPr>
        <w:pStyle w:val="ListParagraph"/>
        <w:numPr>
          <w:ilvl w:val="0"/>
          <w:numId w:val="21"/>
        </w:numPr>
        <w:spacing w:after="120" w:line="276" w:lineRule="auto"/>
        <w:ind w:leftChars="0"/>
        <w:rPr>
          <w:b/>
          <w:bCs/>
          <w:i/>
          <w:sz w:val="20"/>
        </w:rPr>
      </w:pPr>
      <w:r w:rsidRPr="00003A8F">
        <w:rPr>
          <w:b/>
          <w:bCs/>
          <w:i/>
          <w:sz w:val="20"/>
        </w:rPr>
        <w:t xml:space="preserve">It is sufficient for ISAC channel model methodology to leave placeholders for RCS properties of Type-1 EO or to just give informational RCS values for Type-1 EO.  </w:t>
      </w:r>
    </w:p>
    <w:p w:rsidR="003C0E47" w:rsidRDefault="003C0E47">
      <w:pPr>
        <w:tabs>
          <w:tab w:val="left" w:pos="800"/>
        </w:tabs>
        <w:snapToGrid w:val="0"/>
        <w:spacing w:after="120" w:line="260" w:lineRule="auto"/>
        <w:rPr>
          <w:rFonts w:eastAsiaTheme="minorEastAsia"/>
          <w:b/>
          <w:i/>
          <w:szCs w:val="20"/>
          <w:lang w:val="en-GB" w:eastAsia="zh-CN"/>
        </w:rPr>
      </w:pPr>
    </w:p>
    <w:p w:rsidR="003C0E47" w:rsidRPr="00CD711E" w:rsidRDefault="003C0E47" w:rsidP="003C0E47">
      <w:pPr>
        <w:spacing w:after="120"/>
        <w:rPr>
          <w:b/>
          <w:bCs/>
          <w:i/>
          <w:szCs w:val="20"/>
        </w:rPr>
      </w:pPr>
      <w:r w:rsidRPr="00CD711E">
        <w:rPr>
          <w:b/>
          <w:bCs/>
          <w:i/>
          <w:szCs w:val="20"/>
        </w:rPr>
        <w:t xml:space="preserve">Observation 1: There is a dilemma in whether to use free-space propagation formula to model LOS. </w:t>
      </w:r>
    </w:p>
    <w:p w:rsidR="003C0E47" w:rsidRPr="00CD711E" w:rsidRDefault="003C0E47" w:rsidP="003C0E47">
      <w:pPr>
        <w:pStyle w:val="ListParagraph"/>
        <w:numPr>
          <w:ilvl w:val="0"/>
          <w:numId w:val="21"/>
        </w:numPr>
        <w:spacing w:after="120" w:line="276" w:lineRule="auto"/>
        <w:ind w:leftChars="0"/>
        <w:rPr>
          <w:b/>
          <w:bCs/>
          <w:i/>
          <w:sz w:val="20"/>
        </w:rPr>
      </w:pPr>
      <w:r w:rsidRPr="00CD711E">
        <w:rPr>
          <w:b/>
          <w:bCs/>
          <w:i/>
          <w:sz w:val="20"/>
        </w:rPr>
        <w:t xml:space="preserve">On one hand, free-space formula for LOS propagation is not fully compatible with existing RAN1 agreement </w:t>
      </w:r>
      <w:r>
        <w:rPr>
          <w:b/>
          <w:bCs/>
          <w:i/>
          <w:sz w:val="20"/>
        </w:rPr>
        <w:t>to have individual channel models, especially individual large-scale fading, on each of</w:t>
      </w:r>
      <w:r w:rsidRPr="00CD711E">
        <w:rPr>
          <w:b/>
          <w:bCs/>
          <w:i/>
          <w:sz w:val="20"/>
        </w:rPr>
        <w:t xml:space="preserve"> Tx-target link and target-Rx link.</w:t>
      </w:r>
    </w:p>
    <w:p w:rsidR="003C0E47" w:rsidRPr="00CD711E" w:rsidRDefault="003C0E47" w:rsidP="003C0E47">
      <w:pPr>
        <w:pStyle w:val="ListParagraph"/>
        <w:numPr>
          <w:ilvl w:val="0"/>
          <w:numId w:val="21"/>
        </w:numPr>
        <w:spacing w:after="120" w:line="276" w:lineRule="auto"/>
        <w:ind w:leftChars="0"/>
        <w:rPr>
          <w:b/>
          <w:bCs/>
          <w:i/>
          <w:sz w:val="20"/>
        </w:rPr>
      </w:pPr>
      <w:r w:rsidRPr="00CD711E">
        <w:rPr>
          <w:b/>
          <w:bCs/>
          <w:i/>
          <w:sz w:val="20"/>
        </w:rPr>
        <w:t xml:space="preserve">On the other hand, inability of using free-space formula for LOS propagation may create a negative evaluation </w:t>
      </w:r>
      <w:r>
        <w:rPr>
          <w:b/>
          <w:bCs/>
          <w:i/>
          <w:sz w:val="20"/>
        </w:rPr>
        <w:t>restriction</w:t>
      </w:r>
      <w:r w:rsidRPr="00CD711E">
        <w:rPr>
          <w:b/>
          <w:bCs/>
          <w:i/>
          <w:sz w:val="20"/>
        </w:rPr>
        <w:t xml:space="preserve"> to sensing detection schemes, especially those depending on power of sensing signal. </w:t>
      </w:r>
    </w:p>
    <w:p w:rsidR="003C0E47" w:rsidRDefault="003C0E47">
      <w:pPr>
        <w:tabs>
          <w:tab w:val="left" w:pos="800"/>
        </w:tabs>
        <w:snapToGrid w:val="0"/>
        <w:spacing w:after="120" w:line="260" w:lineRule="auto"/>
        <w:rPr>
          <w:rFonts w:eastAsiaTheme="minorEastAsia"/>
          <w:b/>
          <w:i/>
          <w:szCs w:val="20"/>
          <w:lang w:val="en-GB" w:eastAsia="zh-CN"/>
        </w:rPr>
      </w:pPr>
    </w:p>
    <w:p w:rsidR="003C0E47" w:rsidRPr="00CD711E" w:rsidRDefault="003C0E47" w:rsidP="003C0E47">
      <w:pPr>
        <w:rPr>
          <w:b/>
          <w:bCs/>
          <w:i/>
        </w:rPr>
      </w:pPr>
      <w:r w:rsidRPr="00CD711E">
        <w:rPr>
          <w:b/>
          <w:bCs/>
          <w:i/>
        </w:rPr>
        <w:t xml:space="preserve">Proposal 3:  Even though free-space modeling of LOS </w:t>
      </w:r>
      <w:r>
        <w:rPr>
          <w:b/>
          <w:bCs/>
          <w:i/>
        </w:rPr>
        <w:t xml:space="preserve">ray </w:t>
      </w:r>
      <w:r w:rsidRPr="00CD711E">
        <w:rPr>
          <w:b/>
          <w:bCs/>
          <w:i/>
        </w:rPr>
        <w:t xml:space="preserve">can be incompatible to stochastic pathloss formula for LOS+NLOS </w:t>
      </w:r>
      <w:r>
        <w:rPr>
          <w:b/>
          <w:bCs/>
          <w:i/>
        </w:rPr>
        <w:t xml:space="preserve">rays </w:t>
      </w:r>
      <w:r w:rsidRPr="00CD711E">
        <w:rPr>
          <w:b/>
          <w:bCs/>
          <w:i/>
        </w:rPr>
        <w:t xml:space="preserve">in some cases, the free-space formula for LOS propagation should be allowed.  </w:t>
      </w:r>
    </w:p>
    <w:p w:rsidR="00440CAD" w:rsidRDefault="00440CAD" w:rsidP="00BD4F9D">
      <w:pPr>
        <w:pStyle w:val="BodyText"/>
        <w:spacing w:beforeLines="50" w:before="120"/>
        <w:rPr>
          <w:rFonts w:eastAsia="SimSun"/>
          <w:sz w:val="22"/>
          <w:szCs w:val="22"/>
          <w:lang w:eastAsia="zh-CN"/>
        </w:rPr>
      </w:pPr>
    </w:p>
    <w:p w:rsidR="003C0E47" w:rsidRPr="00AB38CE" w:rsidRDefault="003C0E47" w:rsidP="003C0E47">
      <w:pPr>
        <w:spacing w:after="120"/>
        <w:rPr>
          <w:b/>
          <w:bCs/>
          <w:i/>
          <w:szCs w:val="20"/>
        </w:rPr>
      </w:pPr>
      <w:r w:rsidRPr="00AB38CE">
        <w:rPr>
          <w:b/>
          <w:bCs/>
          <w:i/>
          <w:szCs w:val="20"/>
        </w:rPr>
        <w:t>Proposal 4: LOS scattering can be modeled by splitting a single LOS ray after Tx-target and target-Rx concatenation into M rays, where</w:t>
      </w:r>
    </w:p>
    <w:p w:rsidR="003C0E47" w:rsidRPr="00AB38CE" w:rsidRDefault="003C0E47" w:rsidP="003C0E47">
      <w:pPr>
        <w:pStyle w:val="ListParagraph"/>
        <w:numPr>
          <w:ilvl w:val="0"/>
          <w:numId w:val="22"/>
        </w:numPr>
        <w:spacing w:after="120" w:line="276" w:lineRule="auto"/>
        <w:ind w:leftChars="0"/>
        <w:rPr>
          <w:b/>
          <w:bCs/>
          <w:i/>
          <w:sz w:val="20"/>
        </w:rPr>
      </w:pPr>
      <w:r w:rsidRPr="00AB38CE">
        <w:rPr>
          <w:b/>
          <w:bCs/>
          <w:i/>
          <w:sz w:val="20"/>
        </w:rPr>
        <w:t xml:space="preserve">Each of M rays has 1/M of power of original single LOS ray. </w:t>
      </w:r>
    </w:p>
    <w:p w:rsidR="003C0E47" w:rsidRPr="00AB38CE" w:rsidRDefault="003C0E47" w:rsidP="003C0E47">
      <w:pPr>
        <w:pStyle w:val="ListParagraph"/>
        <w:numPr>
          <w:ilvl w:val="0"/>
          <w:numId w:val="22"/>
        </w:numPr>
        <w:spacing w:after="120" w:line="276" w:lineRule="auto"/>
        <w:ind w:leftChars="0"/>
        <w:rPr>
          <w:b/>
          <w:bCs/>
          <w:i/>
          <w:sz w:val="20"/>
        </w:rPr>
      </w:pPr>
      <w:r w:rsidRPr="00AB38CE">
        <w:rPr>
          <w:b/>
          <w:bCs/>
          <w:i/>
          <w:sz w:val="20"/>
        </w:rPr>
        <w:t xml:space="preserve">Each of M rays has the same time delay of original </w:t>
      </w:r>
      <w:r>
        <w:rPr>
          <w:b/>
          <w:bCs/>
          <w:i/>
          <w:sz w:val="20"/>
        </w:rPr>
        <w:t xml:space="preserve">single </w:t>
      </w:r>
      <w:r w:rsidRPr="00AB38CE">
        <w:rPr>
          <w:b/>
          <w:bCs/>
          <w:i/>
          <w:sz w:val="20"/>
        </w:rPr>
        <w:t xml:space="preserve">LOS ray. </w:t>
      </w:r>
    </w:p>
    <w:p w:rsidR="003C0E47" w:rsidRPr="00AB38CE" w:rsidRDefault="003C0E47" w:rsidP="003C0E47">
      <w:pPr>
        <w:pStyle w:val="ListParagraph"/>
        <w:numPr>
          <w:ilvl w:val="0"/>
          <w:numId w:val="22"/>
        </w:numPr>
        <w:spacing w:after="120" w:line="276" w:lineRule="auto"/>
        <w:ind w:leftChars="0"/>
        <w:rPr>
          <w:b/>
          <w:bCs/>
          <w:i/>
          <w:sz w:val="20"/>
        </w:rPr>
      </w:pPr>
      <w:r w:rsidRPr="00AB38CE">
        <w:rPr>
          <w:b/>
          <w:bCs/>
          <w:i/>
          <w:sz w:val="20"/>
        </w:rPr>
        <w:t xml:space="preserve">The angles on each of M rays follow the same modelling method used in current 38.901 to model departure/arrival angels of rays split from NLOS clusters. </w:t>
      </w:r>
    </w:p>
    <w:p w:rsidR="003C0E47" w:rsidRDefault="003C0E47" w:rsidP="00BD4F9D">
      <w:pPr>
        <w:pStyle w:val="BodyText"/>
        <w:spacing w:beforeLines="50" w:before="120"/>
        <w:rPr>
          <w:rFonts w:eastAsia="SimSun"/>
          <w:sz w:val="22"/>
          <w:szCs w:val="22"/>
          <w:lang w:val="en-GB" w:eastAsia="zh-CN"/>
        </w:rPr>
      </w:pPr>
    </w:p>
    <w:p w:rsidR="003C0E47" w:rsidRPr="000E7BDD" w:rsidRDefault="003C0E47" w:rsidP="003C0E47">
      <w:pPr>
        <w:spacing w:after="120"/>
        <w:rPr>
          <w:b/>
          <w:bCs/>
          <w:i/>
          <w:szCs w:val="20"/>
        </w:rPr>
      </w:pPr>
      <w:r w:rsidRPr="000E7BDD">
        <w:rPr>
          <w:b/>
          <w:bCs/>
          <w:i/>
          <w:szCs w:val="20"/>
        </w:rPr>
        <w:t xml:space="preserve">Proposal 5: A generic placeholder per ray-level is included in Tx-target-Rx channel impulse response for modeling of micro-Doppler effect. </w:t>
      </w:r>
    </w:p>
    <w:p w:rsidR="003C0E47" w:rsidRPr="000E7BDD" w:rsidRDefault="003C0E47" w:rsidP="003C0E47">
      <w:pPr>
        <w:pStyle w:val="ListParagraph"/>
        <w:numPr>
          <w:ilvl w:val="0"/>
          <w:numId w:val="23"/>
        </w:numPr>
        <w:spacing w:after="120" w:line="276" w:lineRule="auto"/>
        <w:ind w:leftChars="0"/>
        <w:rPr>
          <w:b/>
          <w:bCs/>
          <w:i/>
          <w:sz w:val="20"/>
        </w:rPr>
      </w:pPr>
      <w:r w:rsidRPr="000E7BDD">
        <w:rPr>
          <w:b/>
          <w:bCs/>
          <w:i/>
          <w:sz w:val="20"/>
        </w:rPr>
        <w:t>Rel-19 ISAC channel model may provide informational examples of</w:t>
      </w:r>
      <w:r>
        <w:rPr>
          <w:b/>
          <w:bCs/>
          <w:i/>
          <w:sz w:val="20"/>
        </w:rPr>
        <w:t xml:space="preserve"> specific</w:t>
      </w:r>
      <w:r w:rsidRPr="000E7BDD">
        <w:rPr>
          <w:b/>
          <w:bCs/>
          <w:i/>
          <w:sz w:val="20"/>
        </w:rPr>
        <w:t xml:space="preserve"> micro-Doppler functions for interested sensing targets, but </w:t>
      </w:r>
      <w:r>
        <w:rPr>
          <w:b/>
          <w:bCs/>
          <w:i/>
          <w:sz w:val="20"/>
        </w:rPr>
        <w:t>does not have to</w:t>
      </w:r>
      <w:r w:rsidRPr="000E7BDD">
        <w:rPr>
          <w:b/>
          <w:bCs/>
          <w:i/>
          <w:sz w:val="20"/>
        </w:rPr>
        <w:t xml:space="preserve">. </w:t>
      </w:r>
    </w:p>
    <w:p w:rsidR="003C0E47" w:rsidRPr="003C0E47" w:rsidRDefault="003C0E47" w:rsidP="00BD4F9D">
      <w:pPr>
        <w:pStyle w:val="BodyText"/>
        <w:spacing w:beforeLines="50" w:before="120"/>
        <w:rPr>
          <w:rFonts w:eastAsia="SimSun"/>
          <w:sz w:val="22"/>
          <w:szCs w:val="22"/>
          <w:lang w:val="en-GB" w:eastAsia="zh-CN"/>
        </w:rPr>
      </w:pPr>
    </w:p>
    <w:p w:rsidR="003C0E47" w:rsidRPr="004649FA" w:rsidRDefault="003C0E47" w:rsidP="003C0E47">
      <w:pPr>
        <w:spacing w:after="120"/>
        <w:rPr>
          <w:b/>
          <w:bCs/>
          <w:i/>
          <w:szCs w:val="20"/>
        </w:rPr>
      </w:pPr>
      <w:r w:rsidRPr="004649FA">
        <w:rPr>
          <w:b/>
          <w:bCs/>
          <w:i/>
          <w:szCs w:val="20"/>
        </w:rPr>
        <w:t>Proposal 6: RAN1 choose from follow</w:t>
      </w:r>
      <w:r>
        <w:rPr>
          <w:b/>
          <w:bCs/>
          <w:i/>
          <w:szCs w:val="20"/>
        </w:rPr>
        <w:t>ing alternatives</w:t>
      </w:r>
      <w:r w:rsidRPr="004649FA">
        <w:rPr>
          <w:b/>
          <w:bCs/>
          <w:i/>
          <w:szCs w:val="20"/>
        </w:rPr>
        <w:t xml:space="preserve"> for power normalization. </w:t>
      </w:r>
    </w:p>
    <w:p w:rsidR="003C0E47" w:rsidRPr="004649FA" w:rsidRDefault="003C0E47" w:rsidP="003C0E47">
      <w:pPr>
        <w:pStyle w:val="ListParagraph"/>
        <w:numPr>
          <w:ilvl w:val="0"/>
          <w:numId w:val="24"/>
        </w:numPr>
        <w:spacing w:after="120" w:line="276" w:lineRule="auto"/>
        <w:ind w:leftChars="0"/>
        <w:rPr>
          <w:b/>
          <w:bCs/>
          <w:i/>
          <w:sz w:val="20"/>
        </w:rPr>
      </w:pPr>
      <w:r>
        <w:rPr>
          <w:b/>
          <w:bCs/>
          <w:i/>
          <w:sz w:val="20"/>
          <w:lang w:val="en-US"/>
        </w:rPr>
        <w:t>Alt</w:t>
      </w:r>
      <w:r w:rsidRPr="004649FA">
        <w:rPr>
          <w:b/>
          <w:bCs/>
          <w:i/>
          <w:sz w:val="20"/>
        </w:rPr>
        <w:t>-1: No power normalization between target channel</w:t>
      </w:r>
      <w:r>
        <w:rPr>
          <w:b/>
          <w:bCs/>
          <w:i/>
          <w:sz w:val="20"/>
        </w:rPr>
        <w:t>(</w:t>
      </w:r>
      <w:r w:rsidRPr="004649FA">
        <w:rPr>
          <w:b/>
          <w:bCs/>
          <w:i/>
          <w:sz w:val="20"/>
        </w:rPr>
        <w:t>s</w:t>
      </w:r>
      <w:r>
        <w:rPr>
          <w:b/>
          <w:bCs/>
          <w:i/>
          <w:sz w:val="20"/>
        </w:rPr>
        <w:t xml:space="preserve">) and </w:t>
      </w:r>
      <w:r w:rsidRPr="004649FA">
        <w:rPr>
          <w:b/>
          <w:bCs/>
          <w:i/>
          <w:sz w:val="20"/>
        </w:rPr>
        <w:t>background channel.</w:t>
      </w:r>
    </w:p>
    <w:p w:rsidR="003C0E47" w:rsidRPr="004649FA" w:rsidRDefault="003C0E47" w:rsidP="003C0E47">
      <w:pPr>
        <w:pStyle w:val="ListParagraph"/>
        <w:numPr>
          <w:ilvl w:val="0"/>
          <w:numId w:val="24"/>
        </w:numPr>
        <w:spacing w:after="120" w:line="276" w:lineRule="auto"/>
        <w:ind w:leftChars="0"/>
        <w:rPr>
          <w:b/>
          <w:bCs/>
          <w:i/>
          <w:sz w:val="20"/>
        </w:rPr>
      </w:pPr>
      <w:r>
        <w:rPr>
          <w:b/>
          <w:bCs/>
          <w:i/>
          <w:sz w:val="20"/>
        </w:rPr>
        <w:t>Alt</w:t>
      </w:r>
      <w:r w:rsidRPr="004649FA">
        <w:rPr>
          <w:b/>
          <w:bCs/>
          <w:i/>
          <w:sz w:val="20"/>
        </w:rPr>
        <w:t xml:space="preserve">-2: Power normalization is applied to both target channel(s) and background channel. </w:t>
      </w:r>
    </w:p>
    <w:p w:rsidR="003C0E47" w:rsidRPr="005A3B25" w:rsidRDefault="003C0E47" w:rsidP="003C0E47">
      <w:pPr>
        <w:pStyle w:val="ListParagraph"/>
        <w:numPr>
          <w:ilvl w:val="0"/>
          <w:numId w:val="24"/>
        </w:numPr>
        <w:spacing w:after="120" w:line="276" w:lineRule="auto"/>
        <w:ind w:leftChars="0"/>
        <w:rPr>
          <w:b/>
          <w:bCs/>
          <w:i/>
          <w:sz w:val="20"/>
        </w:rPr>
      </w:pPr>
      <w:r>
        <w:rPr>
          <w:b/>
          <w:bCs/>
          <w:i/>
          <w:sz w:val="20"/>
        </w:rPr>
        <w:t>Alt</w:t>
      </w:r>
      <w:r w:rsidRPr="004649FA">
        <w:rPr>
          <w:b/>
          <w:bCs/>
          <w:i/>
          <w:sz w:val="20"/>
        </w:rPr>
        <w:t>-3: Pow</w:t>
      </w:r>
      <w:r>
        <w:rPr>
          <w:b/>
          <w:bCs/>
          <w:i/>
          <w:sz w:val="20"/>
        </w:rPr>
        <w:t>er normalization is applied to</w:t>
      </w:r>
      <w:r w:rsidRPr="004649FA">
        <w:rPr>
          <w:b/>
          <w:bCs/>
          <w:i/>
          <w:sz w:val="20"/>
        </w:rPr>
        <w:t xml:space="preserve"> background channel only but not any target channel.  </w:t>
      </w:r>
    </w:p>
    <w:p w:rsidR="00440CAD" w:rsidRDefault="00440CAD" w:rsidP="00BD4F9D">
      <w:pPr>
        <w:pStyle w:val="BodyText"/>
        <w:spacing w:beforeLines="50" w:before="120"/>
        <w:rPr>
          <w:rFonts w:eastAsia="SimSun"/>
          <w:sz w:val="22"/>
          <w:szCs w:val="22"/>
          <w:lang w:val="en-GB" w:eastAsia="zh-CN"/>
        </w:rPr>
      </w:pPr>
    </w:p>
    <w:p w:rsidR="003C0E47" w:rsidRPr="00B51537" w:rsidRDefault="003C0E47" w:rsidP="003C0E47">
      <w:pPr>
        <w:spacing w:after="120"/>
        <w:rPr>
          <w:b/>
          <w:bCs/>
          <w:i/>
          <w:szCs w:val="20"/>
        </w:rPr>
      </w:pPr>
      <w:r>
        <w:rPr>
          <w:b/>
          <w:bCs/>
          <w:i/>
          <w:szCs w:val="20"/>
        </w:rPr>
        <w:t>Proposal 7</w:t>
      </w:r>
      <w:r w:rsidRPr="00B51537">
        <w:rPr>
          <w:b/>
          <w:bCs/>
          <w:i/>
          <w:szCs w:val="20"/>
        </w:rPr>
        <w:t>: RAN1 clarifies which of following option is adopted when calculating LOS power in background channel as K</w:t>
      </w:r>
      <w:r w:rsidRPr="00B51537">
        <w:rPr>
          <w:b/>
          <w:bCs/>
          <w:i/>
          <w:szCs w:val="20"/>
          <w:vertAlign w:val="subscript"/>
        </w:rPr>
        <w:t>R</w:t>
      </w:r>
      <w:r w:rsidRPr="00B51537">
        <w:rPr>
          <w:b/>
          <w:bCs/>
          <w:i/>
          <w:szCs w:val="20"/>
        </w:rPr>
        <w:t>/(K</w:t>
      </w:r>
      <w:r w:rsidRPr="00B51537">
        <w:rPr>
          <w:b/>
          <w:bCs/>
          <w:i/>
          <w:szCs w:val="20"/>
          <w:vertAlign w:val="subscript"/>
        </w:rPr>
        <w:t>R</w:t>
      </w:r>
      <w:r w:rsidRPr="00B51537">
        <w:rPr>
          <w:b/>
          <w:bCs/>
          <w:i/>
          <w:szCs w:val="20"/>
        </w:rPr>
        <w:t xml:space="preserve">+1) of total large-scale power across LOS+NLOS clusters. </w:t>
      </w:r>
    </w:p>
    <w:p w:rsidR="003C0E47" w:rsidRPr="00B51537" w:rsidRDefault="003C0E47" w:rsidP="003C0E47">
      <w:pPr>
        <w:pStyle w:val="ListParagraph"/>
        <w:numPr>
          <w:ilvl w:val="0"/>
          <w:numId w:val="23"/>
        </w:numPr>
        <w:spacing w:after="120" w:line="276" w:lineRule="auto"/>
        <w:ind w:leftChars="0"/>
        <w:rPr>
          <w:b/>
          <w:bCs/>
          <w:i/>
          <w:sz w:val="20"/>
        </w:rPr>
      </w:pPr>
      <w:r w:rsidRPr="00B51537">
        <w:rPr>
          <w:b/>
          <w:bCs/>
          <w:i/>
          <w:sz w:val="20"/>
        </w:rPr>
        <w:t xml:space="preserve">Option-1: The total large-scale power across LOS+NLOS clusters counts the Tx-target-Rx power(s) in all target channel(s) for the same Tx/Rx pair. </w:t>
      </w:r>
    </w:p>
    <w:p w:rsidR="003C0E47" w:rsidRPr="00B51537" w:rsidRDefault="003C0E47" w:rsidP="003C0E47">
      <w:pPr>
        <w:pStyle w:val="ListParagraph"/>
        <w:numPr>
          <w:ilvl w:val="0"/>
          <w:numId w:val="23"/>
        </w:numPr>
        <w:spacing w:after="120" w:line="276" w:lineRule="auto"/>
        <w:ind w:leftChars="0"/>
        <w:rPr>
          <w:b/>
          <w:bCs/>
          <w:i/>
          <w:sz w:val="20"/>
        </w:rPr>
      </w:pPr>
      <w:r w:rsidRPr="00B51537">
        <w:rPr>
          <w:b/>
          <w:bCs/>
          <w:i/>
          <w:sz w:val="20"/>
        </w:rPr>
        <w:t>Option-2:  The total large-scale power across LOS+NLOS clusters does not count the Tx-target-Rx power in any target channel.</w:t>
      </w:r>
    </w:p>
    <w:p w:rsidR="00440CAD" w:rsidRDefault="00440CAD" w:rsidP="00BD4F9D">
      <w:pPr>
        <w:pStyle w:val="BodyText"/>
        <w:spacing w:beforeLines="50" w:before="120"/>
        <w:rPr>
          <w:rFonts w:eastAsia="SimSun"/>
          <w:sz w:val="22"/>
          <w:szCs w:val="22"/>
          <w:lang w:val="en-GB" w:eastAsia="zh-CN"/>
        </w:rPr>
      </w:pPr>
    </w:p>
    <w:p w:rsidR="003C0E47" w:rsidRPr="00B51537" w:rsidRDefault="003C0E47" w:rsidP="003C0E47">
      <w:pPr>
        <w:spacing w:after="120"/>
        <w:rPr>
          <w:b/>
          <w:bCs/>
          <w:i/>
          <w:szCs w:val="20"/>
        </w:rPr>
      </w:pPr>
      <w:r>
        <w:rPr>
          <w:b/>
          <w:bCs/>
          <w:i/>
          <w:szCs w:val="20"/>
        </w:rPr>
        <w:t>Proposal 8</w:t>
      </w:r>
      <w:r w:rsidRPr="00B51537">
        <w:rPr>
          <w:b/>
          <w:bCs/>
          <w:i/>
          <w:szCs w:val="20"/>
        </w:rPr>
        <w:t xml:space="preserve">: RAN1 clarifies which of following option is adopted when </w:t>
      </w:r>
      <w:r>
        <w:rPr>
          <w:b/>
          <w:bCs/>
          <w:i/>
          <w:szCs w:val="20"/>
        </w:rPr>
        <w:t>the derivation of departure/arrival angles of</w:t>
      </w:r>
      <w:r w:rsidRPr="00B51537">
        <w:rPr>
          <w:b/>
          <w:bCs/>
          <w:i/>
          <w:szCs w:val="20"/>
        </w:rPr>
        <w:t xml:space="preserve"> </w:t>
      </w:r>
      <w:r>
        <w:rPr>
          <w:b/>
          <w:bCs/>
          <w:i/>
          <w:szCs w:val="20"/>
        </w:rPr>
        <w:t xml:space="preserve">NLOS clusters </w:t>
      </w:r>
      <w:r w:rsidRPr="00B51537">
        <w:rPr>
          <w:b/>
          <w:bCs/>
          <w:i/>
          <w:szCs w:val="20"/>
        </w:rPr>
        <w:t>in background channel</w:t>
      </w:r>
      <w:r w:rsidRPr="00211064">
        <w:rPr>
          <w:b/>
          <w:bCs/>
          <w:i/>
          <w:szCs w:val="20"/>
        </w:rPr>
        <w:t xml:space="preserve"> uses </w:t>
      </w:r>
      <m:oMath>
        <m:f>
          <m:fPr>
            <m:type m:val="lin"/>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n</m:t>
                </m:r>
              </m:sub>
            </m:sSub>
          </m:num>
          <m:den>
            <m:r>
              <m:rPr>
                <m:sty m:val="bi"/>
              </m:rPr>
              <w:rPr>
                <w:rFonts w:ascii="Cambria Math" w:hAnsi="Cambria Math"/>
              </w:rPr>
              <m:t>max</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n</m:t>
                    </m:r>
                  </m:sub>
                </m:sSub>
              </m:e>
            </m:d>
          </m:den>
        </m:f>
      </m:oMath>
      <w:r w:rsidRPr="00211064">
        <w:rPr>
          <w:b/>
          <w:bCs/>
          <w:i/>
          <w:szCs w:val="20"/>
        </w:rPr>
        <w:t xml:space="preserve"> </w:t>
      </w:r>
      <w:r w:rsidRPr="00B51537">
        <w:rPr>
          <w:b/>
          <w:bCs/>
          <w:i/>
          <w:szCs w:val="20"/>
        </w:rPr>
        <w:t xml:space="preserve">. </w:t>
      </w:r>
    </w:p>
    <w:p w:rsidR="003C0E47" w:rsidRPr="00B51537" w:rsidRDefault="003C0E47" w:rsidP="003C0E47">
      <w:pPr>
        <w:pStyle w:val="ListParagraph"/>
        <w:numPr>
          <w:ilvl w:val="0"/>
          <w:numId w:val="23"/>
        </w:numPr>
        <w:spacing w:after="120" w:line="276" w:lineRule="auto"/>
        <w:ind w:leftChars="0"/>
        <w:rPr>
          <w:b/>
          <w:bCs/>
          <w:i/>
          <w:sz w:val="20"/>
        </w:rPr>
      </w:pPr>
      <w:r>
        <w:rPr>
          <w:b/>
          <w:bCs/>
          <w:i/>
          <w:sz w:val="20"/>
        </w:rPr>
        <w:t xml:space="preserve">Option-1: </w:t>
      </w:r>
      <m:oMath>
        <m:r>
          <m:rPr>
            <m:sty m:val="bi"/>
          </m:rPr>
          <w:rPr>
            <w:rFonts w:ascii="Cambria Math" w:hAnsi="Cambria Math"/>
            <w:sz w:val="20"/>
          </w:rPr>
          <m:t>max</m:t>
        </m:r>
        <m:d>
          <m:dPr>
            <m:ctrlPr>
              <w:rPr>
                <w:rFonts w:ascii="Cambria Math" w:eastAsia="Times New Roman" w:hAnsi="Cambria Math"/>
                <w:b/>
                <w:bCs/>
                <w:i/>
                <w:sz w:val="20"/>
                <w:lang w:val="en-US" w:eastAsia="en-US"/>
              </w:rPr>
            </m:ctrlPr>
          </m:dPr>
          <m:e>
            <m:sSub>
              <m:sSubPr>
                <m:ctrlPr>
                  <w:rPr>
                    <w:rFonts w:ascii="Cambria Math" w:eastAsia="Times New Roman" w:hAnsi="Cambria Math"/>
                    <w:b/>
                    <w:bCs/>
                    <w:i/>
                    <w:sz w:val="20"/>
                    <w:lang w:val="en-US" w:eastAsia="en-US"/>
                  </w:rPr>
                </m:ctrlPr>
              </m:sSubPr>
              <m:e>
                <m:r>
                  <m:rPr>
                    <m:sty m:val="bi"/>
                  </m:rPr>
                  <w:rPr>
                    <w:rFonts w:ascii="Cambria Math" w:hAnsi="Cambria Math"/>
                    <w:sz w:val="20"/>
                  </w:rPr>
                  <m:t>P</m:t>
                </m:r>
              </m:e>
              <m:sub>
                <m:r>
                  <m:rPr>
                    <m:sty m:val="bi"/>
                  </m:rPr>
                  <w:rPr>
                    <w:rFonts w:ascii="Cambria Math" w:hAnsi="Cambria Math"/>
                    <w:sz w:val="20"/>
                  </w:rPr>
                  <m:t>n</m:t>
                </m:r>
              </m:sub>
            </m:sSub>
          </m:e>
        </m:d>
      </m:oMath>
      <w:r w:rsidRPr="00211064">
        <w:rPr>
          <w:b/>
          <w:bCs/>
          <w:i/>
          <w:sz w:val="20"/>
          <w:lang w:val="en-US" w:eastAsia="en-US"/>
        </w:rPr>
        <w:t xml:space="preserve"> takes</w:t>
      </w:r>
      <w:r>
        <w:rPr>
          <w:b/>
          <w:bCs/>
          <w:i/>
          <w:sz w:val="20"/>
          <w:szCs w:val="24"/>
          <w:lang w:val="en-US" w:eastAsia="en-US"/>
        </w:rPr>
        <w:t xml:space="preserve"> into account the powers of clusters </w:t>
      </w:r>
      <w:r w:rsidRPr="00B51537">
        <w:rPr>
          <w:b/>
          <w:bCs/>
          <w:i/>
          <w:sz w:val="20"/>
        </w:rPr>
        <w:t xml:space="preserve">in all target channel(s) </w:t>
      </w:r>
      <w:r>
        <w:rPr>
          <w:b/>
          <w:bCs/>
          <w:i/>
          <w:sz w:val="20"/>
        </w:rPr>
        <w:t xml:space="preserve">and background channel </w:t>
      </w:r>
      <w:r w:rsidRPr="00B51537">
        <w:rPr>
          <w:b/>
          <w:bCs/>
          <w:i/>
          <w:sz w:val="20"/>
        </w:rPr>
        <w:t xml:space="preserve">for the same Tx/Rx pair. </w:t>
      </w:r>
    </w:p>
    <w:p w:rsidR="003C0E47" w:rsidRDefault="003C0E47" w:rsidP="003C0E47">
      <w:pPr>
        <w:pStyle w:val="ListParagraph"/>
        <w:numPr>
          <w:ilvl w:val="0"/>
          <w:numId w:val="23"/>
        </w:numPr>
        <w:spacing w:after="120" w:line="276" w:lineRule="auto"/>
        <w:ind w:leftChars="0"/>
        <w:rPr>
          <w:b/>
          <w:bCs/>
          <w:i/>
          <w:sz w:val="20"/>
        </w:rPr>
      </w:pPr>
      <w:r w:rsidRPr="00B51537">
        <w:rPr>
          <w:b/>
          <w:bCs/>
          <w:i/>
          <w:sz w:val="20"/>
        </w:rPr>
        <w:t xml:space="preserve">Option-2:  </w:t>
      </w:r>
      <m:oMath>
        <m:r>
          <m:rPr>
            <m:sty m:val="bi"/>
          </m:rPr>
          <w:rPr>
            <w:rFonts w:ascii="Cambria Math" w:hAnsi="Cambria Math"/>
            <w:sz w:val="20"/>
          </w:rPr>
          <m:t>max</m:t>
        </m:r>
        <m:d>
          <m:dPr>
            <m:ctrlPr>
              <w:rPr>
                <w:rFonts w:ascii="Cambria Math" w:eastAsia="Times New Roman" w:hAnsi="Cambria Math"/>
                <w:b/>
                <w:bCs/>
                <w:i/>
                <w:sz w:val="20"/>
                <w:lang w:val="en-US" w:eastAsia="en-US"/>
              </w:rPr>
            </m:ctrlPr>
          </m:dPr>
          <m:e>
            <m:sSub>
              <m:sSubPr>
                <m:ctrlPr>
                  <w:rPr>
                    <w:rFonts w:ascii="Cambria Math" w:eastAsia="Times New Roman" w:hAnsi="Cambria Math"/>
                    <w:b/>
                    <w:bCs/>
                    <w:i/>
                    <w:sz w:val="20"/>
                    <w:lang w:val="en-US" w:eastAsia="en-US"/>
                  </w:rPr>
                </m:ctrlPr>
              </m:sSubPr>
              <m:e>
                <m:r>
                  <m:rPr>
                    <m:sty m:val="bi"/>
                  </m:rPr>
                  <w:rPr>
                    <w:rFonts w:ascii="Cambria Math" w:hAnsi="Cambria Math"/>
                    <w:sz w:val="20"/>
                  </w:rPr>
                  <m:t>P</m:t>
                </m:r>
              </m:e>
              <m:sub>
                <m:r>
                  <m:rPr>
                    <m:sty m:val="bi"/>
                  </m:rPr>
                  <w:rPr>
                    <w:rFonts w:ascii="Cambria Math" w:hAnsi="Cambria Math"/>
                    <w:sz w:val="20"/>
                  </w:rPr>
                  <m:t>n</m:t>
                </m:r>
              </m:sub>
            </m:sSub>
          </m:e>
        </m:d>
      </m:oMath>
      <w:r w:rsidRPr="00211064">
        <w:rPr>
          <w:b/>
          <w:bCs/>
          <w:i/>
          <w:sz w:val="20"/>
          <w:lang w:val="en-US" w:eastAsia="en-US"/>
        </w:rPr>
        <w:t xml:space="preserve"> </w:t>
      </w:r>
      <w:r>
        <w:rPr>
          <w:b/>
          <w:bCs/>
          <w:i/>
          <w:sz w:val="20"/>
          <w:lang w:val="en-US" w:eastAsia="en-US"/>
        </w:rPr>
        <w:t xml:space="preserve">does not </w:t>
      </w:r>
      <w:r w:rsidRPr="00211064">
        <w:rPr>
          <w:b/>
          <w:bCs/>
          <w:i/>
          <w:sz w:val="20"/>
          <w:lang w:val="en-US" w:eastAsia="en-US"/>
        </w:rPr>
        <w:t>take</w:t>
      </w:r>
      <w:r>
        <w:rPr>
          <w:b/>
          <w:bCs/>
          <w:i/>
          <w:sz w:val="20"/>
          <w:szCs w:val="24"/>
          <w:lang w:val="en-US" w:eastAsia="en-US"/>
        </w:rPr>
        <w:t xml:space="preserve"> into account the powers of clusters</w:t>
      </w:r>
      <w:r w:rsidRPr="00B51537">
        <w:rPr>
          <w:b/>
          <w:bCs/>
          <w:i/>
          <w:sz w:val="20"/>
        </w:rPr>
        <w:t xml:space="preserve"> in any target channel</w:t>
      </w:r>
      <w:r>
        <w:rPr>
          <w:b/>
          <w:bCs/>
          <w:i/>
          <w:sz w:val="20"/>
        </w:rPr>
        <w:t>, but only the ones in background channel</w:t>
      </w:r>
      <w:r w:rsidRPr="00B51537">
        <w:rPr>
          <w:b/>
          <w:bCs/>
          <w:i/>
          <w:sz w:val="20"/>
        </w:rPr>
        <w:t>.</w:t>
      </w:r>
    </w:p>
    <w:p w:rsidR="003C0E47" w:rsidRDefault="003C0E47" w:rsidP="00BD4F9D">
      <w:pPr>
        <w:pStyle w:val="BodyText"/>
        <w:spacing w:beforeLines="50" w:before="120"/>
        <w:rPr>
          <w:rFonts w:eastAsia="SimSun"/>
          <w:sz w:val="22"/>
          <w:szCs w:val="22"/>
          <w:lang w:val="en-GB" w:eastAsia="zh-CN"/>
        </w:rPr>
      </w:pPr>
    </w:p>
    <w:p w:rsidR="003C0E47" w:rsidRPr="00300211" w:rsidRDefault="003C0E47" w:rsidP="003C0E47">
      <w:pPr>
        <w:spacing w:after="120"/>
        <w:rPr>
          <w:b/>
          <w:bCs/>
          <w:i/>
        </w:rPr>
      </w:pPr>
      <w:r w:rsidRPr="00300211">
        <w:rPr>
          <w:b/>
          <w:bCs/>
          <w:i/>
        </w:rPr>
        <w:t xml:space="preserve">Proposal 9: Among the three options from RAN1 #118bis for mono-static background channel pathloss modeling, Option-1 can be chosen if the pathloss value range of the mono-static channel is proved to never exceed the pathloss value range of existing Tx-Rx pathloss model for the same scenario. </w:t>
      </w:r>
    </w:p>
    <w:p w:rsidR="003C0E47" w:rsidRPr="00300211" w:rsidRDefault="003C0E47" w:rsidP="003C0E47">
      <w:pPr>
        <w:pStyle w:val="ListParagraph"/>
        <w:numPr>
          <w:ilvl w:val="0"/>
          <w:numId w:val="26"/>
        </w:numPr>
        <w:spacing w:after="120" w:line="276" w:lineRule="auto"/>
        <w:ind w:leftChars="0"/>
        <w:rPr>
          <w:b/>
          <w:bCs/>
          <w:i/>
          <w:sz w:val="20"/>
        </w:rPr>
      </w:pPr>
      <w:r w:rsidRPr="00300211">
        <w:rPr>
          <w:b/>
          <w:bCs/>
          <w:i/>
          <w:sz w:val="20"/>
        </w:rPr>
        <w:t>For Option-1, it should be clarif</w:t>
      </w:r>
      <w:r>
        <w:rPr>
          <w:b/>
          <w:bCs/>
          <w:i/>
          <w:sz w:val="20"/>
        </w:rPr>
        <w:t>ied</w:t>
      </w:r>
      <w:r w:rsidRPr="00300211">
        <w:rPr>
          <w:b/>
          <w:bCs/>
          <w:i/>
          <w:sz w:val="20"/>
        </w:rPr>
        <w:t xml:space="preserve"> whether other statistical modelling, such as time-delay and departure/arrival angles, need separate determinations of virtual Rx. </w:t>
      </w:r>
    </w:p>
    <w:p w:rsidR="003C0E47" w:rsidRDefault="003C0E47" w:rsidP="00BD4F9D">
      <w:pPr>
        <w:pStyle w:val="BodyText"/>
        <w:spacing w:beforeLines="50" w:before="120"/>
        <w:rPr>
          <w:rFonts w:eastAsia="SimSun"/>
          <w:sz w:val="22"/>
          <w:szCs w:val="22"/>
          <w:lang w:val="en-GB" w:eastAsia="zh-CN"/>
        </w:rPr>
      </w:pPr>
    </w:p>
    <w:p w:rsidR="003C0E47" w:rsidRDefault="003C0E47" w:rsidP="003C0E47">
      <w:pPr>
        <w:spacing w:before="120" w:after="120" w:line="257" w:lineRule="auto"/>
        <w:jc w:val="both"/>
        <w:rPr>
          <w:rFonts w:eastAsiaTheme="minorEastAsia"/>
          <w:b/>
          <w:i/>
          <w:lang w:eastAsia="zh-CN"/>
        </w:rPr>
      </w:pPr>
      <w:r>
        <w:rPr>
          <w:rFonts w:eastAsiaTheme="minorEastAsia"/>
          <w:b/>
          <w:i/>
          <w:lang w:eastAsia="zh-CN"/>
        </w:rPr>
        <w:t xml:space="preserve">Proposal 10: RAN1 discusses whether/how to model new spatial consistency for the following cases: </w:t>
      </w:r>
    </w:p>
    <w:p w:rsidR="003C0E47" w:rsidRPr="003C0E47" w:rsidRDefault="003C0E47" w:rsidP="003C0E47">
      <w:pPr>
        <w:pStyle w:val="ListParagraph"/>
        <w:numPr>
          <w:ilvl w:val="0"/>
          <w:numId w:val="11"/>
        </w:numPr>
        <w:spacing w:after="120" w:line="257" w:lineRule="auto"/>
        <w:ind w:leftChars="0"/>
        <w:jc w:val="both"/>
        <w:rPr>
          <w:rFonts w:eastAsiaTheme="minorEastAsia"/>
          <w:b/>
          <w:i/>
          <w:lang w:eastAsia="zh-CN"/>
        </w:rPr>
      </w:pPr>
      <w:r w:rsidRPr="003C0E47">
        <w:rPr>
          <w:rFonts w:eastAsiaTheme="minorEastAsia"/>
          <w:b/>
          <w:i/>
          <w:sz w:val="20"/>
          <w:lang w:eastAsia="zh-CN"/>
        </w:rPr>
        <w:t>Consistency among three links of {Tx-target, target-Rx, Tx-Rx}</w:t>
      </w:r>
    </w:p>
    <w:p w:rsidR="003C0E47" w:rsidRDefault="003C0E47" w:rsidP="003C0E47">
      <w:pPr>
        <w:pStyle w:val="ListParagraph"/>
        <w:numPr>
          <w:ilvl w:val="0"/>
          <w:numId w:val="11"/>
        </w:numPr>
        <w:spacing w:after="120" w:line="257" w:lineRule="auto"/>
        <w:ind w:leftChars="0"/>
        <w:jc w:val="both"/>
        <w:rPr>
          <w:rFonts w:eastAsiaTheme="minorEastAsia"/>
          <w:b/>
          <w:i/>
          <w:lang w:eastAsia="zh-CN"/>
        </w:rPr>
      </w:pPr>
      <w:r>
        <w:rPr>
          <w:rFonts w:eastAsiaTheme="minorEastAsia"/>
          <w:b/>
          <w:i/>
          <w:sz w:val="20"/>
          <w:lang w:eastAsia="zh-CN"/>
        </w:rPr>
        <w:t>Consistency due to target mobility around close locations</w:t>
      </w:r>
    </w:p>
    <w:p w:rsidR="003C0E47" w:rsidRPr="003E7ECA" w:rsidRDefault="003C0E47" w:rsidP="003C0E47">
      <w:pPr>
        <w:pStyle w:val="ListParagraph"/>
        <w:numPr>
          <w:ilvl w:val="0"/>
          <w:numId w:val="11"/>
        </w:numPr>
        <w:spacing w:after="120" w:line="257" w:lineRule="auto"/>
        <w:ind w:leftChars="0"/>
        <w:jc w:val="both"/>
        <w:rPr>
          <w:rFonts w:eastAsiaTheme="minorEastAsia"/>
          <w:b/>
          <w:i/>
          <w:sz w:val="20"/>
          <w:lang w:eastAsia="zh-CN"/>
        </w:rPr>
      </w:pPr>
      <w:r>
        <w:rPr>
          <w:rFonts w:eastAsiaTheme="minorEastAsia"/>
          <w:b/>
          <w:i/>
          <w:sz w:val="20"/>
          <w:lang w:val="en-US" w:eastAsia="zh-CN"/>
        </w:rPr>
        <w:t xml:space="preserve">Enhancement from 2D random process to 3D random process for certain specific scenarios. </w:t>
      </w:r>
    </w:p>
    <w:p w:rsidR="00440CAD" w:rsidRPr="003C0E47" w:rsidRDefault="00440CAD" w:rsidP="00BD4F9D">
      <w:pPr>
        <w:pStyle w:val="BodyText"/>
        <w:spacing w:beforeLines="50" w:before="120"/>
        <w:rPr>
          <w:rFonts w:eastAsia="SimSun"/>
          <w:sz w:val="22"/>
          <w:szCs w:val="22"/>
          <w:lang w:val="en-GB" w:eastAsia="zh-CN"/>
        </w:rPr>
      </w:pPr>
    </w:p>
    <w:p w:rsidR="00440CAD" w:rsidRDefault="00697913">
      <w:pPr>
        <w:pStyle w:val="Heading1"/>
        <w:rPr>
          <w:rFonts w:ascii="Times New Roman" w:hAnsi="Times New Roman" w:cs="Times New Roman"/>
        </w:rPr>
      </w:pPr>
      <w:r>
        <w:rPr>
          <w:rFonts w:ascii="Times New Roman" w:hAnsi="Times New Roman" w:cs="Times New Roman"/>
        </w:rPr>
        <w:t>Reference</w:t>
      </w:r>
    </w:p>
    <w:p w:rsidR="00440CAD" w:rsidRDefault="00697913">
      <w:pPr>
        <w:numPr>
          <w:ilvl w:val="0"/>
          <w:numId w:val="18"/>
        </w:numPr>
        <w:spacing w:after="40" w:line="240" w:lineRule="auto"/>
        <w:ind w:hangingChars="210"/>
        <w:rPr>
          <w:lang w:eastAsia="zh-CN"/>
        </w:rPr>
      </w:pPr>
      <w:bookmarkStart w:id="2" w:name="_Ref157889589"/>
      <w:r>
        <w:rPr>
          <w:lang w:eastAsia="zh-CN"/>
        </w:rPr>
        <w:t>RP-234069,  New SID: Study on channel modelling for Integrated Sensing And Communication (ISAC) for NR, Nokia, Nokia Shanghai Bell</w:t>
      </w:r>
      <w:bookmarkEnd w:id="2"/>
    </w:p>
    <w:p w:rsidR="00440CAD" w:rsidRDefault="00697913">
      <w:pPr>
        <w:numPr>
          <w:ilvl w:val="0"/>
          <w:numId w:val="18"/>
        </w:numPr>
        <w:spacing w:after="40" w:line="240" w:lineRule="auto"/>
        <w:ind w:hangingChars="210"/>
        <w:rPr>
          <w:lang w:eastAsia="zh-CN"/>
        </w:rPr>
      </w:pPr>
      <w:bookmarkStart w:id="3" w:name="_Ref1183461403"/>
      <w:r>
        <w:t>R1-2403715, RAN1 #116bis Summary #4 on ISA</w:t>
      </w:r>
      <w:r w:rsidR="00AD7527">
        <w:t>C channel modeling, Moderator (</w:t>
      </w:r>
      <w:r w:rsidR="00C36591">
        <w:t>x</w:t>
      </w:r>
      <w:r>
        <w:t>iaomi)</w:t>
      </w:r>
      <w:bookmarkEnd w:id="3"/>
    </w:p>
    <w:p w:rsidR="00440CAD" w:rsidRDefault="00697913">
      <w:pPr>
        <w:numPr>
          <w:ilvl w:val="0"/>
          <w:numId w:val="18"/>
        </w:numPr>
        <w:spacing w:after="40" w:line="240" w:lineRule="auto"/>
        <w:ind w:hangingChars="210"/>
        <w:rPr>
          <w:lang w:eastAsia="zh-CN"/>
        </w:rPr>
      </w:pPr>
      <w:bookmarkStart w:id="4" w:name="_Ref157889637"/>
      <w:r>
        <w:rPr>
          <w:lang w:eastAsia="zh-CN"/>
        </w:rPr>
        <w:t>TR38.901, v17.1.0</w:t>
      </w:r>
      <w:bookmarkEnd w:id="4"/>
    </w:p>
    <w:p w:rsidR="00440CAD" w:rsidRDefault="00697913">
      <w:pPr>
        <w:numPr>
          <w:ilvl w:val="0"/>
          <w:numId w:val="18"/>
        </w:numPr>
        <w:spacing w:after="40" w:line="240" w:lineRule="auto"/>
        <w:ind w:hangingChars="210"/>
        <w:rPr>
          <w:lang w:eastAsia="zh-CN"/>
        </w:rPr>
      </w:pPr>
      <w:r>
        <w:rPr>
          <w:lang w:eastAsia="zh-CN"/>
        </w:rPr>
        <w:t>Fundamentals of Radar Signal Processing, Mark A. Richards, Ph.D.</w:t>
      </w:r>
    </w:p>
    <w:p w:rsidR="000C2981" w:rsidRPr="000C2981" w:rsidRDefault="00697913">
      <w:pPr>
        <w:numPr>
          <w:ilvl w:val="0"/>
          <w:numId w:val="18"/>
        </w:numPr>
        <w:spacing w:after="40" w:line="240" w:lineRule="auto"/>
        <w:ind w:hangingChars="210"/>
        <w:rPr>
          <w:lang w:eastAsia="zh-CN"/>
        </w:rPr>
      </w:pPr>
      <w:bookmarkStart w:id="5" w:name="_Ref178696608"/>
      <w:bookmarkStart w:id="6" w:name="_Ref1470153053"/>
      <w:r>
        <w:rPr>
          <w:rFonts w:eastAsiaTheme="minorEastAsia"/>
          <w:lang w:eastAsia="zh-CN"/>
        </w:rPr>
        <w:t>Micro-Doppler Effect in Radar, 2</w:t>
      </w:r>
      <w:r>
        <w:rPr>
          <w:rFonts w:eastAsiaTheme="minorEastAsia"/>
          <w:vertAlign w:val="superscript"/>
          <w:lang w:eastAsia="zh-CN"/>
        </w:rPr>
        <w:t>nd</w:t>
      </w:r>
      <w:r>
        <w:rPr>
          <w:rFonts w:eastAsiaTheme="minorEastAsia"/>
          <w:lang w:eastAsia="zh-CN"/>
        </w:rPr>
        <w:t xml:space="preserve"> edition, </w:t>
      </w:r>
      <w:hyperlink r:id="rId8" w:history="1">
        <w:r>
          <w:rPr>
            <w:rFonts w:eastAsiaTheme="minorEastAsia"/>
          </w:rPr>
          <w:t>Victor C Chen</w:t>
        </w:r>
      </w:hyperlink>
      <w:bookmarkEnd w:id="5"/>
    </w:p>
    <w:p w:rsidR="00440CAD" w:rsidRDefault="00F854FA" w:rsidP="003E7ECA">
      <w:pPr>
        <w:numPr>
          <w:ilvl w:val="0"/>
          <w:numId w:val="18"/>
        </w:numPr>
        <w:spacing w:after="40" w:line="240" w:lineRule="auto"/>
        <w:ind w:hangingChars="210"/>
        <w:rPr>
          <w:lang w:eastAsia="zh-CN"/>
        </w:rPr>
      </w:pPr>
      <w:bookmarkStart w:id="7" w:name="_Ref178691920"/>
      <w:r w:rsidRPr="00F854FA">
        <w:rPr>
          <w:rFonts w:eastAsiaTheme="minorEastAsia"/>
          <w:lang w:eastAsia="zh-CN"/>
        </w:rPr>
        <w:t>R1-2404876</w:t>
      </w:r>
      <w:r>
        <w:rPr>
          <w:rFonts w:eastAsiaTheme="minorEastAsia"/>
          <w:lang w:eastAsia="zh-CN"/>
        </w:rPr>
        <w:t>,</w:t>
      </w:r>
      <w:r w:rsidRPr="00F854FA">
        <w:rPr>
          <w:rFonts w:eastAsiaTheme="minorEastAsia"/>
          <w:lang w:eastAsia="zh-CN"/>
        </w:rPr>
        <w:t xml:space="preserve">  Study on ISAC channel </w:t>
      </w:r>
      <w:r>
        <w:rPr>
          <w:rFonts w:eastAsiaTheme="minorEastAsia"/>
          <w:lang w:eastAsia="zh-CN"/>
        </w:rPr>
        <w:t>modeling, OPPO</w:t>
      </w:r>
      <w:bookmarkEnd w:id="7"/>
      <w:r w:rsidR="00697913">
        <w:rPr>
          <w:rFonts w:eastAsiaTheme="minorEastAsia"/>
          <w:lang w:eastAsia="zh-CN"/>
        </w:rPr>
        <w:t> </w:t>
      </w:r>
      <w:bookmarkEnd w:id="6"/>
    </w:p>
    <w:p w:rsidR="003E7ECA" w:rsidRPr="003E7ECA" w:rsidRDefault="003E7ECA" w:rsidP="003E7ECA">
      <w:pPr>
        <w:spacing w:after="40" w:line="240" w:lineRule="auto"/>
        <w:ind w:left="420"/>
        <w:rPr>
          <w:lang w:eastAsia="zh-CN"/>
        </w:rPr>
      </w:pPr>
    </w:p>
    <w:sectPr w:rsidR="003E7ECA" w:rsidRPr="003E7ECA" w:rsidSect="00440CAD">
      <w:headerReference w:type="default" r:id="rId9"/>
      <w:footerReference w:type="even" r:id="rId10"/>
      <w:footerReference w:type="default"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05759E" w:rsidRDefault="0005759E">
      <w:pPr>
        <w:spacing w:line="240" w:lineRule="auto"/>
      </w:pPr>
      <w:r>
        <w:separator/>
      </w:r>
    </w:p>
  </w:endnote>
  <w:endnote w:type="continuationSeparator" w:id="0">
    <w:p w:rsidR="0005759E" w:rsidRDefault="000575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T Extra"/>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jaVu Math TeX Gyre">
    <w:altName w:val="Cambria Math"/>
    <w:charset w:val="00"/>
    <w:family w:val="auto"/>
    <w:pitch w:val="default"/>
    <w:sig w:usb0="00000000" w:usb1="00000000" w:usb2="02000000" w:usb3="00000000" w:csb0="60000193" w:csb1="0DD4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E26F6" w:rsidRDefault="00DE26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E26F6" w:rsidRDefault="00DE26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62126"/>
    </w:sdtPr>
    <w:sdtContent>
      <w:p w:rsidR="00DE26F6" w:rsidRDefault="00C36591">
        <w:pPr>
          <w:pStyle w:val="Footer"/>
          <w:jc w:val="center"/>
        </w:pPr>
        <w:r>
          <w:fldChar w:fldCharType="begin"/>
        </w:r>
        <w:r>
          <w:instrText xml:space="preserve"> PAGE   \* MERGEFORMAT </w:instrText>
        </w:r>
        <w:r>
          <w:fldChar w:fldCharType="separate"/>
        </w:r>
        <w:r>
          <w:rPr>
            <w:noProof/>
          </w:rPr>
          <w:t>9</w:t>
        </w:r>
        <w:r>
          <w:rPr>
            <w:noProof/>
          </w:rPr>
          <w:fldChar w:fldCharType="end"/>
        </w:r>
      </w:p>
    </w:sdtContent>
  </w:sdt>
  <w:p w:rsidR="00DE26F6" w:rsidRDefault="00DE26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05759E" w:rsidRDefault="0005759E">
      <w:pPr>
        <w:spacing w:after="0"/>
      </w:pPr>
      <w:r>
        <w:separator/>
      </w:r>
    </w:p>
  </w:footnote>
  <w:footnote w:type="continuationSeparator" w:id="0">
    <w:p w:rsidR="0005759E" w:rsidRDefault="000575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E26F6" w:rsidRDefault="00DE26F6">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6645D"/>
    <w:multiLevelType w:val="multilevel"/>
    <w:tmpl w:val="00C6645D"/>
    <w:lvl w:ilvl="0">
      <w:start w:val="1"/>
      <w:numFmt w:val="bullet"/>
      <w:lvlText w:val=""/>
      <w:lvlJc w:val="left"/>
      <w:pPr>
        <w:ind w:left="853" w:hanging="360"/>
      </w:pPr>
      <w:rPr>
        <w:rFonts w:ascii="Symbol" w:hAnsi="Symbol" w:hint="default"/>
      </w:rPr>
    </w:lvl>
    <w:lvl w:ilvl="1">
      <w:start w:val="1"/>
      <w:numFmt w:val="bullet"/>
      <w:lvlText w:val="o"/>
      <w:lvlJc w:val="left"/>
      <w:pPr>
        <w:ind w:left="1573" w:hanging="360"/>
      </w:pPr>
      <w:rPr>
        <w:rFonts w:ascii="Courier New" w:hAnsi="Courier New" w:cs="Courier New" w:hint="default"/>
      </w:rPr>
    </w:lvl>
    <w:lvl w:ilvl="2">
      <w:start w:val="1"/>
      <w:numFmt w:val="bullet"/>
      <w:lvlText w:val=""/>
      <w:lvlJc w:val="left"/>
      <w:pPr>
        <w:ind w:left="2293" w:hanging="360"/>
      </w:pPr>
      <w:rPr>
        <w:rFonts w:ascii="Wingdings" w:hAnsi="Wingdings" w:hint="default"/>
      </w:rPr>
    </w:lvl>
    <w:lvl w:ilvl="3">
      <w:start w:val="1"/>
      <w:numFmt w:val="bullet"/>
      <w:lvlText w:val=""/>
      <w:lvlJc w:val="left"/>
      <w:pPr>
        <w:ind w:left="3013" w:hanging="360"/>
      </w:pPr>
      <w:rPr>
        <w:rFonts w:ascii="Symbol" w:hAnsi="Symbol" w:hint="default"/>
      </w:rPr>
    </w:lvl>
    <w:lvl w:ilvl="4">
      <w:start w:val="1"/>
      <w:numFmt w:val="bullet"/>
      <w:lvlText w:val="o"/>
      <w:lvlJc w:val="left"/>
      <w:pPr>
        <w:ind w:left="3733" w:hanging="360"/>
      </w:pPr>
      <w:rPr>
        <w:rFonts w:ascii="Courier New" w:hAnsi="Courier New" w:cs="Courier New" w:hint="default"/>
      </w:rPr>
    </w:lvl>
    <w:lvl w:ilvl="5">
      <w:start w:val="1"/>
      <w:numFmt w:val="bullet"/>
      <w:lvlText w:val=""/>
      <w:lvlJc w:val="left"/>
      <w:pPr>
        <w:ind w:left="4453" w:hanging="360"/>
      </w:pPr>
      <w:rPr>
        <w:rFonts w:ascii="Wingdings" w:hAnsi="Wingdings" w:hint="default"/>
      </w:rPr>
    </w:lvl>
    <w:lvl w:ilvl="6">
      <w:start w:val="1"/>
      <w:numFmt w:val="bullet"/>
      <w:lvlText w:val=""/>
      <w:lvlJc w:val="left"/>
      <w:pPr>
        <w:ind w:left="5173" w:hanging="360"/>
      </w:pPr>
      <w:rPr>
        <w:rFonts w:ascii="Symbol" w:hAnsi="Symbol" w:hint="default"/>
      </w:rPr>
    </w:lvl>
    <w:lvl w:ilvl="7">
      <w:start w:val="1"/>
      <w:numFmt w:val="bullet"/>
      <w:lvlText w:val="o"/>
      <w:lvlJc w:val="left"/>
      <w:pPr>
        <w:ind w:left="5893" w:hanging="360"/>
      </w:pPr>
      <w:rPr>
        <w:rFonts w:ascii="Courier New" w:hAnsi="Courier New" w:cs="Courier New" w:hint="default"/>
      </w:rPr>
    </w:lvl>
    <w:lvl w:ilvl="8">
      <w:start w:val="1"/>
      <w:numFmt w:val="bullet"/>
      <w:lvlText w:val=""/>
      <w:lvlJc w:val="left"/>
      <w:pPr>
        <w:ind w:left="6613"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62741A7"/>
    <w:multiLevelType w:val="hybridMultilevel"/>
    <w:tmpl w:val="05AAA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4773C5E"/>
    <w:multiLevelType w:val="hybridMultilevel"/>
    <w:tmpl w:val="3FAC0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2203A3"/>
    <w:multiLevelType w:val="multilevel"/>
    <w:tmpl w:val="232203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2D537B"/>
    <w:multiLevelType w:val="multilevel"/>
    <w:tmpl w:val="262D53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D40E3A"/>
    <w:multiLevelType w:val="multilevel"/>
    <w:tmpl w:val="2FD40E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87D79"/>
    <w:multiLevelType w:val="hybridMultilevel"/>
    <w:tmpl w:val="85FA67E4"/>
    <w:lvl w:ilvl="0" w:tplc="04090001">
      <w:start w:val="1"/>
      <w:numFmt w:val="bullet"/>
      <w:lvlText w:val=""/>
      <w:lvlJc w:val="left"/>
      <w:pPr>
        <w:ind w:left="856" w:hanging="360"/>
      </w:pPr>
      <w:rPr>
        <w:rFonts w:ascii="Symbol" w:hAnsi="Symbol"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9" w15:restartNumberingAfterBreak="0">
    <w:nsid w:val="35763A1B"/>
    <w:multiLevelType w:val="hybridMultilevel"/>
    <w:tmpl w:val="D9228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6D4541"/>
    <w:multiLevelType w:val="multilevel"/>
    <w:tmpl w:val="366D4541"/>
    <w:lvl w:ilvl="0">
      <w:start w:val="1"/>
      <w:numFmt w:val="bullet"/>
      <w:lvlText w:val=""/>
      <w:lvlJc w:val="left"/>
      <w:pPr>
        <w:ind w:left="817" w:hanging="360"/>
      </w:pPr>
      <w:rPr>
        <w:rFonts w:ascii="Symbol" w:hAnsi="Symbol"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11" w15:restartNumberingAfterBreak="0">
    <w:nsid w:val="370F6653"/>
    <w:multiLevelType w:val="multilevel"/>
    <w:tmpl w:val="370F6653"/>
    <w:lvl w:ilvl="0">
      <w:start w:val="1"/>
      <w:numFmt w:val="bullet"/>
      <w:lvlText w:val=""/>
      <w:lvlJc w:val="left"/>
      <w:pPr>
        <w:ind w:left="805" w:hanging="360"/>
      </w:pPr>
      <w:rPr>
        <w:rFonts w:ascii="Symbol" w:hAnsi="Symbol" w:hint="default"/>
      </w:rPr>
    </w:lvl>
    <w:lvl w:ilvl="1">
      <w:start w:val="1"/>
      <w:numFmt w:val="bullet"/>
      <w:lvlText w:val="o"/>
      <w:lvlJc w:val="left"/>
      <w:pPr>
        <w:ind w:left="1525" w:hanging="360"/>
      </w:pPr>
      <w:rPr>
        <w:rFonts w:ascii="Courier New" w:hAnsi="Courier New" w:cs="Courier New" w:hint="default"/>
      </w:rPr>
    </w:lvl>
    <w:lvl w:ilvl="2">
      <w:start w:val="1"/>
      <w:numFmt w:val="bullet"/>
      <w:lvlText w:val=""/>
      <w:lvlJc w:val="left"/>
      <w:pPr>
        <w:ind w:left="2245" w:hanging="360"/>
      </w:pPr>
      <w:rPr>
        <w:rFonts w:ascii="Wingdings" w:hAnsi="Wingdings" w:hint="default"/>
      </w:rPr>
    </w:lvl>
    <w:lvl w:ilvl="3">
      <w:start w:val="1"/>
      <w:numFmt w:val="bullet"/>
      <w:lvlText w:val=""/>
      <w:lvlJc w:val="left"/>
      <w:pPr>
        <w:ind w:left="2965" w:hanging="360"/>
      </w:pPr>
      <w:rPr>
        <w:rFonts w:ascii="Symbol" w:hAnsi="Symbol" w:hint="default"/>
      </w:rPr>
    </w:lvl>
    <w:lvl w:ilvl="4">
      <w:start w:val="1"/>
      <w:numFmt w:val="bullet"/>
      <w:lvlText w:val="o"/>
      <w:lvlJc w:val="left"/>
      <w:pPr>
        <w:ind w:left="3685" w:hanging="360"/>
      </w:pPr>
      <w:rPr>
        <w:rFonts w:ascii="Courier New" w:hAnsi="Courier New" w:cs="Courier New" w:hint="default"/>
      </w:rPr>
    </w:lvl>
    <w:lvl w:ilvl="5">
      <w:start w:val="1"/>
      <w:numFmt w:val="bullet"/>
      <w:lvlText w:val=""/>
      <w:lvlJc w:val="left"/>
      <w:pPr>
        <w:ind w:left="4405" w:hanging="360"/>
      </w:pPr>
      <w:rPr>
        <w:rFonts w:ascii="Wingdings" w:hAnsi="Wingdings" w:hint="default"/>
      </w:rPr>
    </w:lvl>
    <w:lvl w:ilvl="6">
      <w:start w:val="1"/>
      <w:numFmt w:val="bullet"/>
      <w:lvlText w:val=""/>
      <w:lvlJc w:val="left"/>
      <w:pPr>
        <w:ind w:left="5125" w:hanging="360"/>
      </w:pPr>
      <w:rPr>
        <w:rFonts w:ascii="Symbol" w:hAnsi="Symbol" w:hint="default"/>
      </w:rPr>
    </w:lvl>
    <w:lvl w:ilvl="7">
      <w:start w:val="1"/>
      <w:numFmt w:val="bullet"/>
      <w:lvlText w:val="o"/>
      <w:lvlJc w:val="left"/>
      <w:pPr>
        <w:ind w:left="5845" w:hanging="360"/>
      </w:pPr>
      <w:rPr>
        <w:rFonts w:ascii="Courier New" w:hAnsi="Courier New" w:cs="Courier New" w:hint="default"/>
      </w:rPr>
    </w:lvl>
    <w:lvl w:ilvl="8">
      <w:start w:val="1"/>
      <w:numFmt w:val="bullet"/>
      <w:lvlText w:val=""/>
      <w:lvlJc w:val="left"/>
      <w:pPr>
        <w:ind w:left="6565" w:hanging="360"/>
      </w:pPr>
      <w:rPr>
        <w:rFonts w:ascii="Wingdings" w:hAnsi="Wingdings" w:hint="default"/>
      </w:rPr>
    </w:lvl>
  </w:abstractNum>
  <w:abstractNum w:abstractNumId="12" w15:restartNumberingAfterBreak="0">
    <w:nsid w:val="3839140F"/>
    <w:multiLevelType w:val="hybridMultilevel"/>
    <w:tmpl w:val="E506B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8A1B3F"/>
    <w:multiLevelType w:val="hybridMultilevel"/>
    <w:tmpl w:val="037C0594"/>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C065603"/>
    <w:multiLevelType w:val="multilevel"/>
    <w:tmpl w:val="4C0656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32A3DBB"/>
    <w:multiLevelType w:val="multilevel"/>
    <w:tmpl w:val="532A3DBB"/>
    <w:lvl w:ilvl="0">
      <w:start w:val="1"/>
      <w:numFmt w:val="bullet"/>
      <w:lvlText w:val="–"/>
      <w:lvlJc w:val="left"/>
      <w:pPr>
        <w:ind w:left="1440" w:hanging="360"/>
      </w:pPr>
      <w:rPr>
        <w:rFonts w:ascii="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AD22595"/>
    <w:multiLevelType w:val="singleLevel"/>
    <w:tmpl w:val="6AD22595"/>
    <w:lvl w:ilvl="0">
      <w:start w:val="1"/>
      <w:numFmt w:val="bullet"/>
      <w:lvlText w:val=""/>
      <w:lvlJc w:val="left"/>
      <w:pPr>
        <w:tabs>
          <w:tab w:val="left" w:pos="420"/>
        </w:tabs>
        <w:ind w:left="420" w:hanging="420"/>
      </w:pPr>
      <w:rPr>
        <w:rFonts w:ascii="Wingdings" w:hAnsi="Wingdings" w:hint="default"/>
      </w:rPr>
    </w:lvl>
  </w:abstractNum>
  <w:abstractNum w:abstractNumId="1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0" w15:restartNumberingAfterBreak="0">
    <w:nsid w:val="7030439A"/>
    <w:multiLevelType w:val="hybridMultilevel"/>
    <w:tmpl w:val="74EA9BB2"/>
    <w:lvl w:ilvl="0" w:tplc="04090001">
      <w:start w:val="1"/>
      <w:numFmt w:val="bullet"/>
      <w:lvlText w:val=""/>
      <w:lvlJc w:val="left"/>
      <w:pPr>
        <w:ind w:left="856" w:hanging="360"/>
      </w:pPr>
      <w:rPr>
        <w:rFonts w:ascii="Symbol" w:hAnsi="Symbol"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21" w15:restartNumberingAfterBreak="0">
    <w:nsid w:val="72A3231E"/>
    <w:multiLevelType w:val="hybridMultilevel"/>
    <w:tmpl w:val="D40E9866"/>
    <w:lvl w:ilvl="0" w:tplc="04090001">
      <w:start w:val="1"/>
      <w:numFmt w:val="bullet"/>
      <w:lvlText w:val=""/>
      <w:lvlJc w:val="left"/>
      <w:pPr>
        <w:ind w:left="908" w:hanging="360"/>
      </w:pPr>
      <w:rPr>
        <w:rFonts w:ascii="Symbol" w:hAnsi="Symbol" w:hint="default"/>
      </w:rPr>
    </w:lvl>
    <w:lvl w:ilvl="1" w:tplc="04090003" w:tentative="1">
      <w:start w:val="1"/>
      <w:numFmt w:val="bullet"/>
      <w:lvlText w:val="o"/>
      <w:lvlJc w:val="left"/>
      <w:pPr>
        <w:ind w:left="1628" w:hanging="360"/>
      </w:pPr>
      <w:rPr>
        <w:rFonts w:ascii="Courier New" w:hAnsi="Courier New" w:cs="Courier New" w:hint="default"/>
      </w:rPr>
    </w:lvl>
    <w:lvl w:ilvl="2" w:tplc="04090005" w:tentative="1">
      <w:start w:val="1"/>
      <w:numFmt w:val="bullet"/>
      <w:lvlText w:val=""/>
      <w:lvlJc w:val="left"/>
      <w:pPr>
        <w:ind w:left="2348" w:hanging="360"/>
      </w:pPr>
      <w:rPr>
        <w:rFonts w:ascii="Wingdings" w:hAnsi="Wingdings" w:hint="default"/>
      </w:rPr>
    </w:lvl>
    <w:lvl w:ilvl="3" w:tplc="04090001" w:tentative="1">
      <w:start w:val="1"/>
      <w:numFmt w:val="bullet"/>
      <w:lvlText w:val=""/>
      <w:lvlJc w:val="left"/>
      <w:pPr>
        <w:ind w:left="3068" w:hanging="360"/>
      </w:pPr>
      <w:rPr>
        <w:rFonts w:ascii="Symbol" w:hAnsi="Symbol" w:hint="default"/>
      </w:rPr>
    </w:lvl>
    <w:lvl w:ilvl="4" w:tplc="04090003" w:tentative="1">
      <w:start w:val="1"/>
      <w:numFmt w:val="bullet"/>
      <w:lvlText w:val="o"/>
      <w:lvlJc w:val="left"/>
      <w:pPr>
        <w:ind w:left="3788" w:hanging="360"/>
      </w:pPr>
      <w:rPr>
        <w:rFonts w:ascii="Courier New" w:hAnsi="Courier New" w:cs="Courier New" w:hint="default"/>
      </w:rPr>
    </w:lvl>
    <w:lvl w:ilvl="5" w:tplc="04090005" w:tentative="1">
      <w:start w:val="1"/>
      <w:numFmt w:val="bullet"/>
      <w:lvlText w:val=""/>
      <w:lvlJc w:val="left"/>
      <w:pPr>
        <w:ind w:left="4508" w:hanging="360"/>
      </w:pPr>
      <w:rPr>
        <w:rFonts w:ascii="Wingdings" w:hAnsi="Wingdings" w:hint="default"/>
      </w:rPr>
    </w:lvl>
    <w:lvl w:ilvl="6" w:tplc="04090001" w:tentative="1">
      <w:start w:val="1"/>
      <w:numFmt w:val="bullet"/>
      <w:lvlText w:val=""/>
      <w:lvlJc w:val="left"/>
      <w:pPr>
        <w:ind w:left="5228" w:hanging="360"/>
      </w:pPr>
      <w:rPr>
        <w:rFonts w:ascii="Symbol" w:hAnsi="Symbol" w:hint="default"/>
      </w:rPr>
    </w:lvl>
    <w:lvl w:ilvl="7" w:tplc="04090003" w:tentative="1">
      <w:start w:val="1"/>
      <w:numFmt w:val="bullet"/>
      <w:lvlText w:val="o"/>
      <w:lvlJc w:val="left"/>
      <w:pPr>
        <w:ind w:left="5948" w:hanging="360"/>
      </w:pPr>
      <w:rPr>
        <w:rFonts w:ascii="Courier New" w:hAnsi="Courier New" w:cs="Courier New" w:hint="default"/>
      </w:rPr>
    </w:lvl>
    <w:lvl w:ilvl="8" w:tplc="04090005" w:tentative="1">
      <w:start w:val="1"/>
      <w:numFmt w:val="bullet"/>
      <w:lvlText w:val=""/>
      <w:lvlJc w:val="left"/>
      <w:pPr>
        <w:ind w:left="6668" w:hanging="360"/>
      </w:pPr>
      <w:rPr>
        <w:rFonts w:ascii="Wingdings" w:hAnsi="Wingdings" w:hint="default"/>
      </w:rPr>
    </w:lvl>
  </w:abstractNum>
  <w:abstractNum w:abstractNumId="22"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25" w15:restartNumberingAfterBreak="0">
    <w:nsid w:val="7F617904"/>
    <w:multiLevelType w:val="multilevel"/>
    <w:tmpl w:val="7F6179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84791878">
    <w:abstractNumId w:val="24"/>
  </w:num>
  <w:num w:numId="2" w16cid:durableId="2129933454">
    <w:abstractNumId w:val="22"/>
  </w:num>
  <w:num w:numId="3" w16cid:durableId="825703578">
    <w:abstractNumId w:val="3"/>
  </w:num>
  <w:num w:numId="4" w16cid:durableId="1989897738">
    <w:abstractNumId w:val="23"/>
  </w:num>
  <w:num w:numId="5" w16cid:durableId="49888789">
    <w:abstractNumId w:val="19"/>
  </w:num>
  <w:num w:numId="6" w16cid:durableId="1956986992">
    <w:abstractNumId w:val="14"/>
  </w:num>
  <w:num w:numId="7" w16cid:durableId="406391082">
    <w:abstractNumId w:val="1"/>
  </w:num>
  <w:num w:numId="8" w16cid:durableId="1780833953">
    <w:abstractNumId w:val="7"/>
  </w:num>
  <w:num w:numId="9" w16cid:durableId="1844199740">
    <w:abstractNumId w:val="0"/>
  </w:num>
  <w:num w:numId="10" w16cid:durableId="473837141">
    <w:abstractNumId w:val="25"/>
  </w:num>
  <w:num w:numId="11" w16cid:durableId="1266307941">
    <w:abstractNumId w:val="10"/>
  </w:num>
  <w:num w:numId="12" w16cid:durableId="1443724756">
    <w:abstractNumId w:val="18"/>
  </w:num>
  <w:num w:numId="13" w16cid:durableId="1704133841">
    <w:abstractNumId w:val="15"/>
  </w:num>
  <w:num w:numId="14" w16cid:durableId="100075056">
    <w:abstractNumId w:val="6"/>
  </w:num>
  <w:num w:numId="15" w16cid:durableId="1551839923">
    <w:abstractNumId w:val="5"/>
  </w:num>
  <w:num w:numId="16" w16cid:durableId="416825068">
    <w:abstractNumId w:val="11"/>
  </w:num>
  <w:num w:numId="17" w16cid:durableId="902377550">
    <w:abstractNumId w:val="16"/>
  </w:num>
  <w:num w:numId="18" w16cid:durableId="1794518341">
    <w:abstractNumId w:val="17"/>
  </w:num>
  <w:num w:numId="19" w16cid:durableId="1022046586">
    <w:abstractNumId w:val="13"/>
  </w:num>
  <w:num w:numId="20" w16cid:durableId="402990351">
    <w:abstractNumId w:val="2"/>
  </w:num>
  <w:num w:numId="21" w16cid:durableId="294338662">
    <w:abstractNumId w:val="12"/>
  </w:num>
  <w:num w:numId="22" w16cid:durableId="1881360035">
    <w:abstractNumId w:val="20"/>
  </w:num>
  <w:num w:numId="23" w16cid:durableId="656543256">
    <w:abstractNumId w:val="8"/>
  </w:num>
  <w:num w:numId="24" w16cid:durableId="1944847195">
    <w:abstractNumId w:val="4"/>
  </w:num>
  <w:num w:numId="25" w16cid:durableId="2010521835">
    <w:abstractNumId w:val="9"/>
  </w:num>
  <w:num w:numId="26" w16cid:durableId="74206776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bordersDoNotSurroundHeader/>
  <w:bordersDoNotSurroundFooter/>
  <w:proofState w:spelling="clean" w:grammar="clean"/>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87FFA5D0"/>
    <w:rsid w:val="8F3AEB08"/>
    <w:rsid w:val="97EF8D67"/>
    <w:rsid w:val="97F78D6A"/>
    <w:rsid w:val="9FAFE18A"/>
    <w:rsid w:val="A7FE93E1"/>
    <w:rsid w:val="AFFEC7DF"/>
    <w:rsid w:val="B7FF9181"/>
    <w:rsid w:val="B7FFD022"/>
    <w:rsid w:val="B8FD4FCC"/>
    <w:rsid w:val="B9E41B56"/>
    <w:rsid w:val="BAFF9166"/>
    <w:rsid w:val="BBDEFF5E"/>
    <w:rsid w:val="BDDC8461"/>
    <w:rsid w:val="BDFB1BD5"/>
    <w:rsid w:val="BF2F1216"/>
    <w:rsid w:val="BFDF17B2"/>
    <w:rsid w:val="CD9D24B5"/>
    <w:rsid w:val="CFD7A465"/>
    <w:rsid w:val="DA77F651"/>
    <w:rsid w:val="DDF58D00"/>
    <w:rsid w:val="DF7F07B1"/>
    <w:rsid w:val="DFDF6E3B"/>
    <w:rsid w:val="E7FBBE20"/>
    <w:rsid w:val="ECBFAF4D"/>
    <w:rsid w:val="ED7DF6F0"/>
    <w:rsid w:val="EDBD8AF3"/>
    <w:rsid w:val="EF7CFF2A"/>
    <w:rsid w:val="EFCB56E0"/>
    <w:rsid w:val="F17DE66C"/>
    <w:rsid w:val="F4BEB83E"/>
    <w:rsid w:val="F77E65EA"/>
    <w:rsid w:val="F7BF2740"/>
    <w:rsid w:val="F96B1212"/>
    <w:rsid w:val="F97CBBC3"/>
    <w:rsid w:val="F9EADB97"/>
    <w:rsid w:val="F9EDB7F6"/>
    <w:rsid w:val="F9FDECCD"/>
    <w:rsid w:val="FA519C4F"/>
    <w:rsid w:val="FAFF722E"/>
    <w:rsid w:val="FB7FE342"/>
    <w:rsid w:val="FBB789EF"/>
    <w:rsid w:val="FBDAF908"/>
    <w:rsid w:val="FBFB7D58"/>
    <w:rsid w:val="FCFD054F"/>
    <w:rsid w:val="FDAA088E"/>
    <w:rsid w:val="FDD427C4"/>
    <w:rsid w:val="FDFD13D0"/>
    <w:rsid w:val="FE3F00A7"/>
    <w:rsid w:val="FE752A04"/>
    <w:rsid w:val="FEB1E0B5"/>
    <w:rsid w:val="FEE71483"/>
    <w:rsid w:val="FEFBB90F"/>
    <w:rsid w:val="FF367F79"/>
    <w:rsid w:val="FF9D4A69"/>
    <w:rsid w:val="FFE5E1A0"/>
    <w:rsid w:val="FFF17009"/>
    <w:rsid w:val="FFFF6A59"/>
    <w:rsid w:val="00000007"/>
    <w:rsid w:val="00000689"/>
    <w:rsid w:val="00000A50"/>
    <w:rsid w:val="00000AE4"/>
    <w:rsid w:val="00000B11"/>
    <w:rsid w:val="00000F4F"/>
    <w:rsid w:val="00001075"/>
    <w:rsid w:val="00001F5B"/>
    <w:rsid w:val="000020AF"/>
    <w:rsid w:val="000022A7"/>
    <w:rsid w:val="0000231B"/>
    <w:rsid w:val="00002402"/>
    <w:rsid w:val="00002AD0"/>
    <w:rsid w:val="00002AF2"/>
    <w:rsid w:val="0000396F"/>
    <w:rsid w:val="00003A8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AFE"/>
    <w:rsid w:val="00011F85"/>
    <w:rsid w:val="000124AB"/>
    <w:rsid w:val="00012947"/>
    <w:rsid w:val="0001297D"/>
    <w:rsid w:val="000129FC"/>
    <w:rsid w:val="00012AD9"/>
    <w:rsid w:val="00012CCC"/>
    <w:rsid w:val="00012E8A"/>
    <w:rsid w:val="00012FDB"/>
    <w:rsid w:val="00012FFC"/>
    <w:rsid w:val="00013069"/>
    <w:rsid w:val="000133C4"/>
    <w:rsid w:val="000137CB"/>
    <w:rsid w:val="00013852"/>
    <w:rsid w:val="000139B0"/>
    <w:rsid w:val="00013AD9"/>
    <w:rsid w:val="00013E2F"/>
    <w:rsid w:val="000142AB"/>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C91"/>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C16"/>
    <w:rsid w:val="00021E43"/>
    <w:rsid w:val="00022158"/>
    <w:rsid w:val="000223A6"/>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4CF4"/>
    <w:rsid w:val="000250E7"/>
    <w:rsid w:val="00025376"/>
    <w:rsid w:val="0002538F"/>
    <w:rsid w:val="000254BF"/>
    <w:rsid w:val="00025757"/>
    <w:rsid w:val="0002595F"/>
    <w:rsid w:val="00026447"/>
    <w:rsid w:val="00026B9B"/>
    <w:rsid w:val="00026D2B"/>
    <w:rsid w:val="00026E8A"/>
    <w:rsid w:val="00027166"/>
    <w:rsid w:val="00027175"/>
    <w:rsid w:val="00027290"/>
    <w:rsid w:val="00027326"/>
    <w:rsid w:val="0002755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61D"/>
    <w:rsid w:val="00031B19"/>
    <w:rsid w:val="00031C51"/>
    <w:rsid w:val="00031EE9"/>
    <w:rsid w:val="00032057"/>
    <w:rsid w:val="0003206D"/>
    <w:rsid w:val="00032533"/>
    <w:rsid w:val="0003264C"/>
    <w:rsid w:val="000328A8"/>
    <w:rsid w:val="000329C7"/>
    <w:rsid w:val="00032DA8"/>
    <w:rsid w:val="00032E52"/>
    <w:rsid w:val="00032E68"/>
    <w:rsid w:val="00032E71"/>
    <w:rsid w:val="000331E3"/>
    <w:rsid w:val="000332B1"/>
    <w:rsid w:val="00033336"/>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523"/>
    <w:rsid w:val="000355F3"/>
    <w:rsid w:val="00035DB6"/>
    <w:rsid w:val="00035EB5"/>
    <w:rsid w:val="000361F9"/>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568"/>
    <w:rsid w:val="00043950"/>
    <w:rsid w:val="000439B9"/>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096"/>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2D1"/>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59E"/>
    <w:rsid w:val="0005778E"/>
    <w:rsid w:val="00060008"/>
    <w:rsid w:val="00060113"/>
    <w:rsid w:val="000601E3"/>
    <w:rsid w:val="0006031B"/>
    <w:rsid w:val="00060380"/>
    <w:rsid w:val="000604C8"/>
    <w:rsid w:val="00060598"/>
    <w:rsid w:val="000607D7"/>
    <w:rsid w:val="00060D61"/>
    <w:rsid w:val="00060EF5"/>
    <w:rsid w:val="00060F4D"/>
    <w:rsid w:val="00061133"/>
    <w:rsid w:val="000611A6"/>
    <w:rsid w:val="0006159A"/>
    <w:rsid w:val="000616B2"/>
    <w:rsid w:val="0006184E"/>
    <w:rsid w:val="00061A51"/>
    <w:rsid w:val="00061CEB"/>
    <w:rsid w:val="00061FDF"/>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5934"/>
    <w:rsid w:val="00065CD0"/>
    <w:rsid w:val="00065D81"/>
    <w:rsid w:val="000660E0"/>
    <w:rsid w:val="00066139"/>
    <w:rsid w:val="00066209"/>
    <w:rsid w:val="000664B6"/>
    <w:rsid w:val="00066676"/>
    <w:rsid w:val="00066ABC"/>
    <w:rsid w:val="00066DF6"/>
    <w:rsid w:val="00067C84"/>
    <w:rsid w:val="0007057B"/>
    <w:rsid w:val="00070818"/>
    <w:rsid w:val="00070DA9"/>
    <w:rsid w:val="00071769"/>
    <w:rsid w:val="000719FE"/>
    <w:rsid w:val="00071E8F"/>
    <w:rsid w:val="00072005"/>
    <w:rsid w:val="00072098"/>
    <w:rsid w:val="000723D8"/>
    <w:rsid w:val="0007244F"/>
    <w:rsid w:val="000726CB"/>
    <w:rsid w:val="00072B54"/>
    <w:rsid w:val="00072E11"/>
    <w:rsid w:val="000731F9"/>
    <w:rsid w:val="00073391"/>
    <w:rsid w:val="00073B9A"/>
    <w:rsid w:val="0007403D"/>
    <w:rsid w:val="0007438B"/>
    <w:rsid w:val="00074559"/>
    <w:rsid w:val="0007468B"/>
    <w:rsid w:val="000749EF"/>
    <w:rsid w:val="00074B94"/>
    <w:rsid w:val="00074CB5"/>
    <w:rsid w:val="0007506A"/>
    <w:rsid w:val="00075096"/>
    <w:rsid w:val="00075AC8"/>
    <w:rsid w:val="00075AF1"/>
    <w:rsid w:val="000760AA"/>
    <w:rsid w:val="00076451"/>
    <w:rsid w:val="000766F3"/>
    <w:rsid w:val="000767A0"/>
    <w:rsid w:val="000767B4"/>
    <w:rsid w:val="000767BE"/>
    <w:rsid w:val="00076918"/>
    <w:rsid w:val="00076A02"/>
    <w:rsid w:val="00076E3A"/>
    <w:rsid w:val="00076FA7"/>
    <w:rsid w:val="00077309"/>
    <w:rsid w:val="00077897"/>
    <w:rsid w:val="00077A54"/>
    <w:rsid w:val="00077AFB"/>
    <w:rsid w:val="00077C1B"/>
    <w:rsid w:val="00077D90"/>
    <w:rsid w:val="00077FCC"/>
    <w:rsid w:val="00080127"/>
    <w:rsid w:val="00080624"/>
    <w:rsid w:val="00080A48"/>
    <w:rsid w:val="00080F35"/>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05D"/>
    <w:rsid w:val="000843A7"/>
    <w:rsid w:val="0008440B"/>
    <w:rsid w:val="0008458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AB8"/>
    <w:rsid w:val="00090CF7"/>
    <w:rsid w:val="00090D3A"/>
    <w:rsid w:val="00090F30"/>
    <w:rsid w:val="0009144B"/>
    <w:rsid w:val="00091488"/>
    <w:rsid w:val="00091529"/>
    <w:rsid w:val="00091609"/>
    <w:rsid w:val="00091B5A"/>
    <w:rsid w:val="00091C83"/>
    <w:rsid w:val="00091CC9"/>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6DD6"/>
    <w:rsid w:val="0009713D"/>
    <w:rsid w:val="000973FB"/>
    <w:rsid w:val="0009761C"/>
    <w:rsid w:val="00097A5A"/>
    <w:rsid w:val="00097D52"/>
    <w:rsid w:val="000A020D"/>
    <w:rsid w:val="000A07E6"/>
    <w:rsid w:val="000A0BE1"/>
    <w:rsid w:val="000A0C0A"/>
    <w:rsid w:val="000A115B"/>
    <w:rsid w:val="000A1B1C"/>
    <w:rsid w:val="000A222A"/>
    <w:rsid w:val="000A2800"/>
    <w:rsid w:val="000A2ACD"/>
    <w:rsid w:val="000A2CF2"/>
    <w:rsid w:val="000A3974"/>
    <w:rsid w:val="000A3A2D"/>
    <w:rsid w:val="000A41BF"/>
    <w:rsid w:val="000A462F"/>
    <w:rsid w:val="000A4E51"/>
    <w:rsid w:val="000A4EFC"/>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C45"/>
    <w:rsid w:val="000B0D52"/>
    <w:rsid w:val="000B11A7"/>
    <w:rsid w:val="000B12EB"/>
    <w:rsid w:val="000B14E7"/>
    <w:rsid w:val="000B166C"/>
    <w:rsid w:val="000B18BD"/>
    <w:rsid w:val="000B1912"/>
    <w:rsid w:val="000B1C00"/>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5F5C"/>
    <w:rsid w:val="000B629F"/>
    <w:rsid w:val="000B6B62"/>
    <w:rsid w:val="000B6F60"/>
    <w:rsid w:val="000B71C5"/>
    <w:rsid w:val="000B72D7"/>
    <w:rsid w:val="000B788D"/>
    <w:rsid w:val="000B7CFC"/>
    <w:rsid w:val="000B7FF5"/>
    <w:rsid w:val="000C013D"/>
    <w:rsid w:val="000C02D2"/>
    <w:rsid w:val="000C08C7"/>
    <w:rsid w:val="000C11B0"/>
    <w:rsid w:val="000C157C"/>
    <w:rsid w:val="000C1A94"/>
    <w:rsid w:val="000C1C3E"/>
    <w:rsid w:val="000C1D9C"/>
    <w:rsid w:val="000C21EB"/>
    <w:rsid w:val="000C2324"/>
    <w:rsid w:val="000C2432"/>
    <w:rsid w:val="000C24D4"/>
    <w:rsid w:val="000C2981"/>
    <w:rsid w:val="000C298D"/>
    <w:rsid w:val="000C29B0"/>
    <w:rsid w:val="000C2C80"/>
    <w:rsid w:val="000C2DD6"/>
    <w:rsid w:val="000C2E7D"/>
    <w:rsid w:val="000C2EC9"/>
    <w:rsid w:val="000C2F04"/>
    <w:rsid w:val="000C372C"/>
    <w:rsid w:val="000C3B1B"/>
    <w:rsid w:val="000C3BA2"/>
    <w:rsid w:val="000C4021"/>
    <w:rsid w:val="000C4389"/>
    <w:rsid w:val="000C4708"/>
    <w:rsid w:val="000C4B37"/>
    <w:rsid w:val="000C4EB4"/>
    <w:rsid w:val="000C5071"/>
    <w:rsid w:val="000C5486"/>
    <w:rsid w:val="000C5A90"/>
    <w:rsid w:val="000C5D5D"/>
    <w:rsid w:val="000C5EC4"/>
    <w:rsid w:val="000C608D"/>
    <w:rsid w:val="000C6295"/>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175"/>
    <w:rsid w:val="000D64F8"/>
    <w:rsid w:val="000D6F0F"/>
    <w:rsid w:val="000D6F49"/>
    <w:rsid w:val="000D6F97"/>
    <w:rsid w:val="000D7128"/>
    <w:rsid w:val="000D73B5"/>
    <w:rsid w:val="000D7409"/>
    <w:rsid w:val="000D7491"/>
    <w:rsid w:val="000E04C5"/>
    <w:rsid w:val="000E04F1"/>
    <w:rsid w:val="000E0B0C"/>
    <w:rsid w:val="000E0E63"/>
    <w:rsid w:val="000E160F"/>
    <w:rsid w:val="000E1944"/>
    <w:rsid w:val="000E1D45"/>
    <w:rsid w:val="000E23E7"/>
    <w:rsid w:val="000E24EB"/>
    <w:rsid w:val="000E264E"/>
    <w:rsid w:val="000E27CB"/>
    <w:rsid w:val="000E2A17"/>
    <w:rsid w:val="000E2E15"/>
    <w:rsid w:val="000E2EF5"/>
    <w:rsid w:val="000E3052"/>
    <w:rsid w:val="000E347D"/>
    <w:rsid w:val="000E3DF1"/>
    <w:rsid w:val="000E3DF4"/>
    <w:rsid w:val="000E43DA"/>
    <w:rsid w:val="000E44CB"/>
    <w:rsid w:val="000E4B87"/>
    <w:rsid w:val="000E4CA2"/>
    <w:rsid w:val="000E5067"/>
    <w:rsid w:val="000E5124"/>
    <w:rsid w:val="000E5873"/>
    <w:rsid w:val="000E58F2"/>
    <w:rsid w:val="000E6231"/>
    <w:rsid w:val="000E68DB"/>
    <w:rsid w:val="000E7654"/>
    <w:rsid w:val="000E7A81"/>
    <w:rsid w:val="000E7BDD"/>
    <w:rsid w:val="000F00BD"/>
    <w:rsid w:val="000F0380"/>
    <w:rsid w:val="000F0AE7"/>
    <w:rsid w:val="000F0BD8"/>
    <w:rsid w:val="000F0CE1"/>
    <w:rsid w:val="000F0DFF"/>
    <w:rsid w:val="000F118D"/>
    <w:rsid w:val="000F1194"/>
    <w:rsid w:val="000F12B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189"/>
    <w:rsid w:val="000F363D"/>
    <w:rsid w:val="000F365B"/>
    <w:rsid w:val="000F3E8D"/>
    <w:rsid w:val="000F4821"/>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7E"/>
    <w:rsid w:val="000F6FD6"/>
    <w:rsid w:val="000F7057"/>
    <w:rsid w:val="000F742E"/>
    <w:rsid w:val="000F75B9"/>
    <w:rsid w:val="000F765E"/>
    <w:rsid w:val="000F7698"/>
    <w:rsid w:val="000F76EF"/>
    <w:rsid w:val="000F7936"/>
    <w:rsid w:val="000F7942"/>
    <w:rsid w:val="000F797B"/>
    <w:rsid w:val="000F7B12"/>
    <w:rsid w:val="00100A93"/>
    <w:rsid w:val="00100CB2"/>
    <w:rsid w:val="00100FF0"/>
    <w:rsid w:val="00101254"/>
    <w:rsid w:val="00101280"/>
    <w:rsid w:val="00101930"/>
    <w:rsid w:val="00101A46"/>
    <w:rsid w:val="00101DE4"/>
    <w:rsid w:val="001020C0"/>
    <w:rsid w:val="0010214D"/>
    <w:rsid w:val="0010225D"/>
    <w:rsid w:val="001025C7"/>
    <w:rsid w:val="001025FD"/>
    <w:rsid w:val="001029AD"/>
    <w:rsid w:val="00102D6F"/>
    <w:rsid w:val="00102E1A"/>
    <w:rsid w:val="00102F8A"/>
    <w:rsid w:val="0010322D"/>
    <w:rsid w:val="001035DD"/>
    <w:rsid w:val="001037C4"/>
    <w:rsid w:val="001038A1"/>
    <w:rsid w:val="00103A03"/>
    <w:rsid w:val="00103CAC"/>
    <w:rsid w:val="0010416C"/>
    <w:rsid w:val="001042D4"/>
    <w:rsid w:val="00104BD7"/>
    <w:rsid w:val="00104C21"/>
    <w:rsid w:val="00104F83"/>
    <w:rsid w:val="001050AC"/>
    <w:rsid w:val="001053D0"/>
    <w:rsid w:val="00105570"/>
    <w:rsid w:val="00105618"/>
    <w:rsid w:val="0010581C"/>
    <w:rsid w:val="00105A05"/>
    <w:rsid w:val="0010628A"/>
    <w:rsid w:val="00106364"/>
    <w:rsid w:val="00106A32"/>
    <w:rsid w:val="00106A60"/>
    <w:rsid w:val="001075BF"/>
    <w:rsid w:val="00107891"/>
    <w:rsid w:val="0010794E"/>
    <w:rsid w:val="00107ABF"/>
    <w:rsid w:val="001102A3"/>
    <w:rsid w:val="001102B4"/>
    <w:rsid w:val="0011055F"/>
    <w:rsid w:val="00110929"/>
    <w:rsid w:val="00110D7C"/>
    <w:rsid w:val="00110FB7"/>
    <w:rsid w:val="001111F6"/>
    <w:rsid w:val="001113AF"/>
    <w:rsid w:val="00111509"/>
    <w:rsid w:val="001116DB"/>
    <w:rsid w:val="00111C41"/>
    <w:rsid w:val="0011207B"/>
    <w:rsid w:val="00112174"/>
    <w:rsid w:val="00112208"/>
    <w:rsid w:val="0011226F"/>
    <w:rsid w:val="001122F3"/>
    <w:rsid w:val="001126A1"/>
    <w:rsid w:val="00112CA5"/>
    <w:rsid w:val="00113123"/>
    <w:rsid w:val="0011335B"/>
    <w:rsid w:val="0011394A"/>
    <w:rsid w:val="00113C88"/>
    <w:rsid w:val="00114047"/>
    <w:rsid w:val="001145BA"/>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27ED"/>
    <w:rsid w:val="001233D7"/>
    <w:rsid w:val="001235A3"/>
    <w:rsid w:val="00123682"/>
    <w:rsid w:val="00123A95"/>
    <w:rsid w:val="00123B0B"/>
    <w:rsid w:val="00123B59"/>
    <w:rsid w:val="00123DEA"/>
    <w:rsid w:val="00123F44"/>
    <w:rsid w:val="0012400B"/>
    <w:rsid w:val="00124828"/>
    <w:rsid w:val="00125020"/>
    <w:rsid w:val="00125326"/>
    <w:rsid w:val="00125728"/>
    <w:rsid w:val="00125970"/>
    <w:rsid w:val="00125A57"/>
    <w:rsid w:val="00125E52"/>
    <w:rsid w:val="00125ECD"/>
    <w:rsid w:val="001262D4"/>
    <w:rsid w:val="00126570"/>
    <w:rsid w:val="00127016"/>
    <w:rsid w:val="001270BB"/>
    <w:rsid w:val="001272E9"/>
    <w:rsid w:val="001275C1"/>
    <w:rsid w:val="001276BD"/>
    <w:rsid w:val="00127AE7"/>
    <w:rsid w:val="00127CC3"/>
    <w:rsid w:val="001300D6"/>
    <w:rsid w:val="00130175"/>
    <w:rsid w:val="0013069F"/>
    <w:rsid w:val="00130E92"/>
    <w:rsid w:val="00130EE3"/>
    <w:rsid w:val="00130EEE"/>
    <w:rsid w:val="0013100E"/>
    <w:rsid w:val="0013103C"/>
    <w:rsid w:val="001311AB"/>
    <w:rsid w:val="001313D8"/>
    <w:rsid w:val="00131647"/>
    <w:rsid w:val="00131697"/>
    <w:rsid w:val="00131AD4"/>
    <w:rsid w:val="00131D06"/>
    <w:rsid w:val="00131D4F"/>
    <w:rsid w:val="00131DCA"/>
    <w:rsid w:val="00132371"/>
    <w:rsid w:val="00132A51"/>
    <w:rsid w:val="00132BDF"/>
    <w:rsid w:val="00132C5C"/>
    <w:rsid w:val="00132DFE"/>
    <w:rsid w:val="0013327B"/>
    <w:rsid w:val="0013351E"/>
    <w:rsid w:val="00133521"/>
    <w:rsid w:val="00133782"/>
    <w:rsid w:val="00133B58"/>
    <w:rsid w:val="00133DF4"/>
    <w:rsid w:val="00134039"/>
    <w:rsid w:val="001345CA"/>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6D"/>
    <w:rsid w:val="001444BD"/>
    <w:rsid w:val="001444CC"/>
    <w:rsid w:val="00144BC5"/>
    <w:rsid w:val="00144CA2"/>
    <w:rsid w:val="00144CC7"/>
    <w:rsid w:val="00144FF6"/>
    <w:rsid w:val="0014503E"/>
    <w:rsid w:val="0014551B"/>
    <w:rsid w:val="00145861"/>
    <w:rsid w:val="001458C9"/>
    <w:rsid w:val="00145D85"/>
    <w:rsid w:val="00145FE3"/>
    <w:rsid w:val="0014613B"/>
    <w:rsid w:val="00146210"/>
    <w:rsid w:val="00146479"/>
    <w:rsid w:val="0014663A"/>
    <w:rsid w:val="00146C4F"/>
    <w:rsid w:val="00146F14"/>
    <w:rsid w:val="00146F2E"/>
    <w:rsid w:val="001471DE"/>
    <w:rsid w:val="00147625"/>
    <w:rsid w:val="001478CA"/>
    <w:rsid w:val="00147A8B"/>
    <w:rsid w:val="00147BA5"/>
    <w:rsid w:val="00147E06"/>
    <w:rsid w:val="00150132"/>
    <w:rsid w:val="00150363"/>
    <w:rsid w:val="001503FB"/>
    <w:rsid w:val="00150483"/>
    <w:rsid w:val="001508AA"/>
    <w:rsid w:val="001508CC"/>
    <w:rsid w:val="00150ABA"/>
    <w:rsid w:val="00150BA9"/>
    <w:rsid w:val="00150FA1"/>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9B2"/>
    <w:rsid w:val="00157C3E"/>
    <w:rsid w:val="00160651"/>
    <w:rsid w:val="00160A8F"/>
    <w:rsid w:val="00160C53"/>
    <w:rsid w:val="00160D4E"/>
    <w:rsid w:val="001610F1"/>
    <w:rsid w:val="001612E3"/>
    <w:rsid w:val="001614E8"/>
    <w:rsid w:val="0016245A"/>
    <w:rsid w:val="00162651"/>
    <w:rsid w:val="001626AD"/>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5DA"/>
    <w:rsid w:val="0016679B"/>
    <w:rsid w:val="00166961"/>
    <w:rsid w:val="00166E2C"/>
    <w:rsid w:val="00167021"/>
    <w:rsid w:val="001671DE"/>
    <w:rsid w:val="00167669"/>
    <w:rsid w:val="001677FE"/>
    <w:rsid w:val="00167ABA"/>
    <w:rsid w:val="00167CA6"/>
    <w:rsid w:val="00167EB5"/>
    <w:rsid w:val="001701E3"/>
    <w:rsid w:val="0017025F"/>
    <w:rsid w:val="001703C6"/>
    <w:rsid w:val="001707EE"/>
    <w:rsid w:val="001715F8"/>
    <w:rsid w:val="00171755"/>
    <w:rsid w:val="00172A09"/>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996"/>
    <w:rsid w:val="00175B62"/>
    <w:rsid w:val="00175D76"/>
    <w:rsid w:val="001761D4"/>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60D"/>
    <w:rsid w:val="00182A1B"/>
    <w:rsid w:val="00182ECA"/>
    <w:rsid w:val="00183238"/>
    <w:rsid w:val="001838D9"/>
    <w:rsid w:val="00183BA7"/>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395"/>
    <w:rsid w:val="001904A3"/>
    <w:rsid w:val="00190D51"/>
    <w:rsid w:val="00190F21"/>
    <w:rsid w:val="001911CE"/>
    <w:rsid w:val="0019136B"/>
    <w:rsid w:val="00191767"/>
    <w:rsid w:val="00191892"/>
    <w:rsid w:val="0019194F"/>
    <w:rsid w:val="00191A83"/>
    <w:rsid w:val="00191E42"/>
    <w:rsid w:val="00191F08"/>
    <w:rsid w:val="00192550"/>
    <w:rsid w:val="00192EBF"/>
    <w:rsid w:val="001932CF"/>
    <w:rsid w:val="00193504"/>
    <w:rsid w:val="0019370F"/>
    <w:rsid w:val="00193761"/>
    <w:rsid w:val="00193811"/>
    <w:rsid w:val="00193B80"/>
    <w:rsid w:val="00193BC4"/>
    <w:rsid w:val="001940A8"/>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7B1"/>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2F29"/>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5FFD"/>
    <w:rsid w:val="001A61FB"/>
    <w:rsid w:val="001A62B3"/>
    <w:rsid w:val="001A6381"/>
    <w:rsid w:val="001A6538"/>
    <w:rsid w:val="001A664D"/>
    <w:rsid w:val="001A66EE"/>
    <w:rsid w:val="001A6775"/>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4F2"/>
    <w:rsid w:val="001B3837"/>
    <w:rsid w:val="001B3CD4"/>
    <w:rsid w:val="001B3F79"/>
    <w:rsid w:val="001B3FE1"/>
    <w:rsid w:val="001B46D1"/>
    <w:rsid w:val="001B48D8"/>
    <w:rsid w:val="001B49EA"/>
    <w:rsid w:val="001B51E0"/>
    <w:rsid w:val="001B583D"/>
    <w:rsid w:val="001B5D4E"/>
    <w:rsid w:val="001B635C"/>
    <w:rsid w:val="001B6377"/>
    <w:rsid w:val="001B6603"/>
    <w:rsid w:val="001B673F"/>
    <w:rsid w:val="001B6851"/>
    <w:rsid w:val="001B68B9"/>
    <w:rsid w:val="001B6AEF"/>
    <w:rsid w:val="001B6B1A"/>
    <w:rsid w:val="001B708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051"/>
    <w:rsid w:val="001C52EF"/>
    <w:rsid w:val="001C5795"/>
    <w:rsid w:val="001C5A05"/>
    <w:rsid w:val="001C5AD3"/>
    <w:rsid w:val="001C5BAB"/>
    <w:rsid w:val="001C5C4C"/>
    <w:rsid w:val="001C5D59"/>
    <w:rsid w:val="001C5FB9"/>
    <w:rsid w:val="001C5FC7"/>
    <w:rsid w:val="001C6090"/>
    <w:rsid w:val="001C6598"/>
    <w:rsid w:val="001C683D"/>
    <w:rsid w:val="001C6C08"/>
    <w:rsid w:val="001C6F92"/>
    <w:rsid w:val="001C712A"/>
    <w:rsid w:val="001C745B"/>
    <w:rsid w:val="001C7471"/>
    <w:rsid w:val="001C7AEA"/>
    <w:rsid w:val="001C7B8A"/>
    <w:rsid w:val="001C7BC1"/>
    <w:rsid w:val="001C7C14"/>
    <w:rsid w:val="001C7D7A"/>
    <w:rsid w:val="001D0425"/>
    <w:rsid w:val="001D04D1"/>
    <w:rsid w:val="001D0722"/>
    <w:rsid w:val="001D088E"/>
    <w:rsid w:val="001D0FA8"/>
    <w:rsid w:val="001D1165"/>
    <w:rsid w:val="001D14D1"/>
    <w:rsid w:val="001D179F"/>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015"/>
    <w:rsid w:val="001D6283"/>
    <w:rsid w:val="001D6624"/>
    <w:rsid w:val="001D667E"/>
    <w:rsid w:val="001D66F4"/>
    <w:rsid w:val="001D6B9F"/>
    <w:rsid w:val="001D6E15"/>
    <w:rsid w:val="001D7106"/>
    <w:rsid w:val="001D78F4"/>
    <w:rsid w:val="001D79D8"/>
    <w:rsid w:val="001E010A"/>
    <w:rsid w:val="001E0323"/>
    <w:rsid w:val="001E0476"/>
    <w:rsid w:val="001E077A"/>
    <w:rsid w:val="001E09CE"/>
    <w:rsid w:val="001E0D49"/>
    <w:rsid w:val="001E1972"/>
    <w:rsid w:val="001E1C35"/>
    <w:rsid w:val="001E2082"/>
    <w:rsid w:val="001E2228"/>
    <w:rsid w:val="001E2379"/>
    <w:rsid w:val="001E23C9"/>
    <w:rsid w:val="001E2B17"/>
    <w:rsid w:val="001E2B86"/>
    <w:rsid w:val="001E32A7"/>
    <w:rsid w:val="001E3554"/>
    <w:rsid w:val="001E3F8A"/>
    <w:rsid w:val="001E4417"/>
    <w:rsid w:val="001E44AD"/>
    <w:rsid w:val="001E470D"/>
    <w:rsid w:val="001E4766"/>
    <w:rsid w:val="001E47E0"/>
    <w:rsid w:val="001E4894"/>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794"/>
    <w:rsid w:val="001F09E1"/>
    <w:rsid w:val="001F0A9F"/>
    <w:rsid w:val="001F0CE8"/>
    <w:rsid w:val="001F1031"/>
    <w:rsid w:val="001F1215"/>
    <w:rsid w:val="001F16C2"/>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864"/>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419"/>
    <w:rsid w:val="002026FD"/>
    <w:rsid w:val="002027EE"/>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DDD"/>
    <w:rsid w:val="00205EA6"/>
    <w:rsid w:val="002060E7"/>
    <w:rsid w:val="002065D5"/>
    <w:rsid w:val="00206759"/>
    <w:rsid w:val="0020691E"/>
    <w:rsid w:val="00206BBE"/>
    <w:rsid w:val="00206E5F"/>
    <w:rsid w:val="00206E9B"/>
    <w:rsid w:val="00207227"/>
    <w:rsid w:val="00207EAB"/>
    <w:rsid w:val="002103D4"/>
    <w:rsid w:val="00210425"/>
    <w:rsid w:val="002105C4"/>
    <w:rsid w:val="00210735"/>
    <w:rsid w:val="00210BC9"/>
    <w:rsid w:val="00210D86"/>
    <w:rsid w:val="00210F69"/>
    <w:rsid w:val="00211032"/>
    <w:rsid w:val="00211064"/>
    <w:rsid w:val="002111F9"/>
    <w:rsid w:val="002115E3"/>
    <w:rsid w:val="00211729"/>
    <w:rsid w:val="002119A0"/>
    <w:rsid w:val="00211D17"/>
    <w:rsid w:val="00211DDB"/>
    <w:rsid w:val="0021208A"/>
    <w:rsid w:val="00212228"/>
    <w:rsid w:val="00212613"/>
    <w:rsid w:val="00212BEE"/>
    <w:rsid w:val="00212CD4"/>
    <w:rsid w:val="00212E25"/>
    <w:rsid w:val="00213118"/>
    <w:rsid w:val="002138FE"/>
    <w:rsid w:val="00213A0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475"/>
    <w:rsid w:val="00216813"/>
    <w:rsid w:val="00216955"/>
    <w:rsid w:val="00216E5A"/>
    <w:rsid w:val="0021700A"/>
    <w:rsid w:val="0021702D"/>
    <w:rsid w:val="0021719B"/>
    <w:rsid w:val="00217215"/>
    <w:rsid w:val="002172AB"/>
    <w:rsid w:val="00217404"/>
    <w:rsid w:val="002176FC"/>
    <w:rsid w:val="00217870"/>
    <w:rsid w:val="00217941"/>
    <w:rsid w:val="00217AAE"/>
    <w:rsid w:val="00217AE2"/>
    <w:rsid w:val="0022006D"/>
    <w:rsid w:val="002200FF"/>
    <w:rsid w:val="0022032D"/>
    <w:rsid w:val="0022078E"/>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8BB"/>
    <w:rsid w:val="00222BD6"/>
    <w:rsid w:val="00222DA2"/>
    <w:rsid w:val="00222FA1"/>
    <w:rsid w:val="00223342"/>
    <w:rsid w:val="002234DD"/>
    <w:rsid w:val="00223B47"/>
    <w:rsid w:val="00223BE6"/>
    <w:rsid w:val="00223F40"/>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15B"/>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4F4"/>
    <w:rsid w:val="00233731"/>
    <w:rsid w:val="002339C2"/>
    <w:rsid w:val="00233D78"/>
    <w:rsid w:val="00233EA7"/>
    <w:rsid w:val="00234205"/>
    <w:rsid w:val="002342CE"/>
    <w:rsid w:val="0023452B"/>
    <w:rsid w:val="00234541"/>
    <w:rsid w:val="002348D0"/>
    <w:rsid w:val="0023511A"/>
    <w:rsid w:val="002351EE"/>
    <w:rsid w:val="002354CD"/>
    <w:rsid w:val="0023569C"/>
    <w:rsid w:val="00235C65"/>
    <w:rsid w:val="00235FDB"/>
    <w:rsid w:val="002360DB"/>
    <w:rsid w:val="00236161"/>
    <w:rsid w:val="00236453"/>
    <w:rsid w:val="002367CD"/>
    <w:rsid w:val="00236D88"/>
    <w:rsid w:val="002372BD"/>
    <w:rsid w:val="00237806"/>
    <w:rsid w:val="00237AC7"/>
    <w:rsid w:val="00237BEE"/>
    <w:rsid w:val="002402E2"/>
    <w:rsid w:val="0024053F"/>
    <w:rsid w:val="0024075B"/>
    <w:rsid w:val="0024095B"/>
    <w:rsid w:val="00240B06"/>
    <w:rsid w:val="00240CD3"/>
    <w:rsid w:val="00240D23"/>
    <w:rsid w:val="00240DD5"/>
    <w:rsid w:val="00240E4C"/>
    <w:rsid w:val="0024105F"/>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47EA9"/>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9E4"/>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AE2"/>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7FC"/>
    <w:rsid w:val="00260C48"/>
    <w:rsid w:val="00260DF5"/>
    <w:rsid w:val="002613CE"/>
    <w:rsid w:val="00261988"/>
    <w:rsid w:val="00261EB2"/>
    <w:rsid w:val="002621A6"/>
    <w:rsid w:val="002623DB"/>
    <w:rsid w:val="00262748"/>
    <w:rsid w:val="00262B9E"/>
    <w:rsid w:val="00262BFF"/>
    <w:rsid w:val="00262E08"/>
    <w:rsid w:val="00262EF4"/>
    <w:rsid w:val="00263071"/>
    <w:rsid w:val="002630EE"/>
    <w:rsid w:val="00263145"/>
    <w:rsid w:val="00263316"/>
    <w:rsid w:val="00263680"/>
    <w:rsid w:val="00263A4E"/>
    <w:rsid w:val="00263D45"/>
    <w:rsid w:val="002640EA"/>
    <w:rsid w:val="00264350"/>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D34"/>
    <w:rsid w:val="00272E0E"/>
    <w:rsid w:val="002732F6"/>
    <w:rsid w:val="00273881"/>
    <w:rsid w:val="00273A03"/>
    <w:rsid w:val="00274745"/>
    <w:rsid w:val="0027487D"/>
    <w:rsid w:val="002748AF"/>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E86"/>
    <w:rsid w:val="002805A9"/>
    <w:rsid w:val="00280761"/>
    <w:rsid w:val="00280A70"/>
    <w:rsid w:val="00280C80"/>
    <w:rsid w:val="002812B4"/>
    <w:rsid w:val="002814C3"/>
    <w:rsid w:val="002815FB"/>
    <w:rsid w:val="00281C12"/>
    <w:rsid w:val="00281CA8"/>
    <w:rsid w:val="00281D07"/>
    <w:rsid w:val="00281EF8"/>
    <w:rsid w:val="0028248D"/>
    <w:rsid w:val="002829D6"/>
    <w:rsid w:val="00282AEC"/>
    <w:rsid w:val="00282F02"/>
    <w:rsid w:val="00283114"/>
    <w:rsid w:val="002832D2"/>
    <w:rsid w:val="00283A5C"/>
    <w:rsid w:val="00283DE6"/>
    <w:rsid w:val="0028475F"/>
    <w:rsid w:val="0028525E"/>
    <w:rsid w:val="0028526F"/>
    <w:rsid w:val="002853BE"/>
    <w:rsid w:val="00285522"/>
    <w:rsid w:val="002858DD"/>
    <w:rsid w:val="00285DC0"/>
    <w:rsid w:val="002869F1"/>
    <w:rsid w:val="00286F9D"/>
    <w:rsid w:val="002875D9"/>
    <w:rsid w:val="002879F0"/>
    <w:rsid w:val="00287CD0"/>
    <w:rsid w:val="00287DF3"/>
    <w:rsid w:val="0029009E"/>
    <w:rsid w:val="00290598"/>
    <w:rsid w:val="00290807"/>
    <w:rsid w:val="00290B39"/>
    <w:rsid w:val="00290DDF"/>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5EE3"/>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49C"/>
    <w:rsid w:val="002A1C0E"/>
    <w:rsid w:val="002A1CAD"/>
    <w:rsid w:val="002A1E17"/>
    <w:rsid w:val="002A1E85"/>
    <w:rsid w:val="002A2AE8"/>
    <w:rsid w:val="002A2B70"/>
    <w:rsid w:val="002A2DAC"/>
    <w:rsid w:val="002A30EB"/>
    <w:rsid w:val="002A342B"/>
    <w:rsid w:val="002A37D5"/>
    <w:rsid w:val="002A3AFA"/>
    <w:rsid w:val="002A4065"/>
    <w:rsid w:val="002A4226"/>
    <w:rsid w:val="002A45AF"/>
    <w:rsid w:val="002A477A"/>
    <w:rsid w:val="002A47FF"/>
    <w:rsid w:val="002A4A15"/>
    <w:rsid w:val="002A50FF"/>
    <w:rsid w:val="002A580F"/>
    <w:rsid w:val="002A58A0"/>
    <w:rsid w:val="002A59B0"/>
    <w:rsid w:val="002A5A7F"/>
    <w:rsid w:val="002A5E68"/>
    <w:rsid w:val="002A68E0"/>
    <w:rsid w:val="002A6D5A"/>
    <w:rsid w:val="002A6E83"/>
    <w:rsid w:val="002A70C2"/>
    <w:rsid w:val="002A7764"/>
    <w:rsid w:val="002A7E85"/>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EF7"/>
    <w:rsid w:val="002B4F14"/>
    <w:rsid w:val="002B5344"/>
    <w:rsid w:val="002B58B5"/>
    <w:rsid w:val="002B5AE3"/>
    <w:rsid w:val="002B5ED0"/>
    <w:rsid w:val="002B654E"/>
    <w:rsid w:val="002B6776"/>
    <w:rsid w:val="002B685E"/>
    <w:rsid w:val="002B68E5"/>
    <w:rsid w:val="002B68EC"/>
    <w:rsid w:val="002B6CA4"/>
    <w:rsid w:val="002B6FC5"/>
    <w:rsid w:val="002B72C2"/>
    <w:rsid w:val="002B76F2"/>
    <w:rsid w:val="002B7B23"/>
    <w:rsid w:val="002B7D23"/>
    <w:rsid w:val="002B7F46"/>
    <w:rsid w:val="002B7F85"/>
    <w:rsid w:val="002C022D"/>
    <w:rsid w:val="002C0556"/>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6AE"/>
    <w:rsid w:val="002C3707"/>
    <w:rsid w:val="002C3C8C"/>
    <w:rsid w:val="002C3DB4"/>
    <w:rsid w:val="002C3EFD"/>
    <w:rsid w:val="002C3F68"/>
    <w:rsid w:val="002C42DA"/>
    <w:rsid w:val="002C431D"/>
    <w:rsid w:val="002C4561"/>
    <w:rsid w:val="002C467D"/>
    <w:rsid w:val="002C470A"/>
    <w:rsid w:val="002C48B2"/>
    <w:rsid w:val="002C50C6"/>
    <w:rsid w:val="002C5413"/>
    <w:rsid w:val="002C5592"/>
    <w:rsid w:val="002C5622"/>
    <w:rsid w:val="002C57ED"/>
    <w:rsid w:val="002C5984"/>
    <w:rsid w:val="002C5BBA"/>
    <w:rsid w:val="002C5BC5"/>
    <w:rsid w:val="002C5E65"/>
    <w:rsid w:val="002C62BE"/>
    <w:rsid w:val="002C6318"/>
    <w:rsid w:val="002C6B7F"/>
    <w:rsid w:val="002C6C1B"/>
    <w:rsid w:val="002C6DE2"/>
    <w:rsid w:val="002C7043"/>
    <w:rsid w:val="002C72FE"/>
    <w:rsid w:val="002C7535"/>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5C7"/>
    <w:rsid w:val="002D36D6"/>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1FBB"/>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1E3"/>
    <w:rsid w:val="002F67E6"/>
    <w:rsid w:val="002F6AC0"/>
    <w:rsid w:val="002F6AFB"/>
    <w:rsid w:val="002F6B8E"/>
    <w:rsid w:val="002F6F31"/>
    <w:rsid w:val="002F73C6"/>
    <w:rsid w:val="002F7558"/>
    <w:rsid w:val="002F76B9"/>
    <w:rsid w:val="002F7A5D"/>
    <w:rsid w:val="002F7B92"/>
    <w:rsid w:val="002F7E35"/>
    <w:rsid w:val="00300156"/>
    <w:rsid w:val="00300211"/>
    <w:rsid w:val="0030041F"/>
    <w:rsid w:val="00300598"/>
    <w:rsid w:val="00300ABB"/>
    <w:rsid w:val="00300F15"/>
    <w:rsid w:val="00301817"/>
    <w:rsid w:val="0030191A"/>
    <w:rsid w:val="00301A1D"/>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37"/>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DFE"/>
    <w:rsid w:val="00310E09"/>
    <w:rsid w:val="00311060"/>
    <w:rsid w:val="00311222"/>
    <w:rsid w:val="00311C55"/>
    <w:rsid w:val="00311D6F"/>
    <w:rsid w:val="003123A3"/>
    <w:rsid w:val="0031264C"/>
    <w:rsid w:val="00312852"/>
    <w:rsid w:val="00312A11"/>
    <w:rsid w:val="003130B5"/>
    <w:rsid w:val="00313391"/>
    <w:rsid w:val="003133F1"/>
    <w:rsid w:val="003133FB"/>
    <w:rsid w:val="00313726"/>
    <w:rsid w:val="00313800"/>
    <w:rsid w:val="00313806"/>
    <w:rsid w:val="0031390A"/>
    <w:rsid w:val="00313965"/>
    <w:rsid w:val="00313A2D"/>
    <w:rsid w:val="00313AE8"/>
    <w:rsid w:val="00313B33"/>
    <w:rsid w:val="00313DA6"/>
    <w:rsid w:val="00313FF7"/>
    <w:rsid w:val="00314EA6"/>
    <w:rsid w:val="00315106"/>
    <w:rsid w:val="0031528C"/>
    <w:rsid w:val="00315655"/>
    <w:rsid w:val="00315801"/>
    <w:rsid w:val="00315A4A"/>
    <w:rsid w:val="00315ADC"/>
    <w:rsid w:val="00315DBD"/>
    <w:rsid w:val="0031606B"/>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0F3E"/>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148"/>
    <w:rsid w:val="00323256"/>
    <w:rsid w:val="00323342"/>
    <w:rsid w:val="003235DA"/>
    <w:rsid w:val="00323719"/>
    <w:rsid w:val="00323F0E"/>
    <w:rsid w:val="00324116"/>
    <w:rsid w:val="00324139"/>
    <w:rsid w:val="00324294"/>
    <w:rsid w:val="00324D3B"/>
    <w:rsid w:val="00325274"/>
    <w:rsid w:val="003252E1"/>
    <w:rsid w:val="00325507"/>
    <w:rsid w:val="00325534"/>
    <w:rsid w:val="0032585D"/>
    <w:rsid w:val="003258F8"/>
    <w:rsid w:val="00325CB7"/>
    <w:rsid w:val="00326373"/>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3243"/>
    <w:rsid w:val="003333AB"/>
    <w:rsid w:val="0033354C"/>
    <w:rsid w:val="003337BD"/>
    <w:rsid w:val="003341EE"/>
    <w:rsid w:val="00334946"/>
    <w:rsid w:val="00334AC2"/>
    <w:rsid w:val="00334C43"/>
    <w:rsid w:val="00334CCA"/>
    <w:rsid w:val="003350AD"/>
    <w:rsid w:val="0033515F"/>
    <w:rsid w:val="003357E0"/>
    <w:rsid w:val="00335C3E"/>
    <w:rsid w:val="00335EA1"/>
    <w:rsid w:val="00336268"/>
    <w:rsid w:val="003364B8"/>
    <w:rsid w:val="003366D2"/>
    <w:rsid w:val="00336926"/>
    <w:rsid w:val="00336F4B"/>
    <w:rsid w:val="00336FAD"/>
    <w:rsid w:val="003371BA"/>
    <w:rsid w:val="003377EE"/>
    <w:rsid w:val="003378BF"/>
    <w:rsid w:val="00337AB1"/>
    <w:rsid w:val="00337BEC"/>
    <w:rsid w:val="00337D44"/>
    <w:rsid w:val="00337DD8"/>
    <w:rsid w:val="00337F04"/>
    <w:rsid w:val="0034020E"/>
    <w:rsid w:val="00340695"/>
    <w:rsid w:val="00340950"/>
    <w:rsid w:val="00340B7E"/>
    <w:rsid w:val="003410FC"/>
    <w:rsid w:val="00341436"/>
    <w:rsid w:val="00341B1E"/>
    <w:rsid w:val="00341D14"/>
    <w:rsid w:val="00341D8C"/>
    <w:rsid w:val="00341DE5"/>
    <w:rsid w:val="00341E53"/>
    <w:rsid w:val="00342193"/>
    <w:rsid w:val="003421D6"/>
    <w:rsid w:val="003424DD"/>
    <w:rsid w:val="0034265B"/>
    <w:rsid w:val="003428C9"/>
    <w:rsid w:val="00342969"/>
    <w:rsid w:val="00342A2F"/>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5BD"/>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0FA8"/>
    <w:rsid w:val="0035161B"/>
    <w:rsid w:val="00351AC5"/>
    <w:rsid w:val="0035208E"/>
    <w:rsid w:val="00352202"/>
    <w:rsid w:val="003522C0"/>
    <w:rsid w:val="00352347"/>
    <w:rsid w:val="0035272B"/>
    <w:rsid w:val="003528E2"/>
    <w:rsid w:val="003529ED"/>
    <w:rsid w:val="00352C97"/>
    <w:rsid w:val="00352D3F"/>
    <w:rsid w:val="003531D7"/>
    <w:rsid w:val="003533B9"/>
    <w:rsid w:val="003536E8"/>
    <w:rsid w:val="00353736"/>
    <w:rsid w:val="003538B0"/>
    <w:rsid w:val="0035392D"/>
    <w:rsid w:val="00353BBD"/>
    <w:rsid w:val="00353D99"/>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B62"/>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1EFA"/>
    <w:rsid w:val="00372478"/>
    <w:rsid w:val="003727F2"/>
    <w:rsid w:val="00373348"/>
    <w:rsid w:val="00373624"/>
    <w:rsid w:val="003737DF"/>
    <w:rsid w:val="00374875"/>
    <w:rsid w:val="0037499D"/>
    <w:rsid w:val="00374CD3"/>
    <w:rsid w:val="00374E76"/>
    <w:rsid w:val="00375A85"/>
    <w:rsid w:val="00375B0E"/>
    <w:rsid w:val="00375B27"/>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E9C"/>
    <w:rsid w:val="00377FFD"/>
    <w:rsid w:val="00380153"/>
    <w:rsid w:val="003801A6"/>
    <w:rsid w:val="00380288"/>
    <w:rsid w:val="003807A4"/>
    <w:rsid w:val="003807CF"/>
    <w:rsid w:val="0038080E"/>
    <w:rsid w:val="00380826"/>
    <w:rsid w:val="003808D5"/>
    <w:rsid w:val="00380BC6"/>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7DC"/>
    <w:rsid w:val="00393948"/>
    <w:rsid w:val="003939B0"/>
    <w:rsid w:val="0039409D"/>
    <w:rsid w:val="00394518"/>
    <w:rsid w:val="003945A5"/>
    <w:rsid w:val="003949AC"/>
    <w:rsid w:val="003949FA"/>
    <w:rsid w:val="00394B16"/>
    <w:rsid w:val="00394CC1"/>
    <w:rsid w:val="00394D4D"/>
    <w:rsid w:val="00394D70"/>
    <w:rsid w:val="00395074"/>
    <w:rsid w:val="00395376"/>
    <w:rsid w:val="00395430"/>
    <w:rsid w:val="00395522"/>
    <w:rsid w:val="0039588C"/>
    <w:rsid w:val="00395A9B"/>
    <w:rsid w:val="00395D6A"/>
    <w:rsid w:val="00395ED6"/>
    <w:rsid w:val="00396098"/>
    <w:rsid w:val="0039616C"/>
    <w:rsid w:val="0039616D"/>
    <w:rsid w:val="003961CB"/>
    <w:rsid w:val="00396484"/>
    <w:rsid w:val="003965D4"/>
    <w:rsid w:val="003965F8"/>
    <w:rsid w:val="00396634"/>
    <w:rsid w:val="0039677B"/>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46D"/>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C4E"/>
    <w:rsid w:val="003B0D35"/>
    <w:rsid w:val="003B1143"/>
    <w:rsid w:val="003B11B8"/>
    <w:rsid w:val="003B19F2"/>
    <w:rsid w:val="003B1C4C"/>
    <w:rsid w:val="003B2317"/>
    <w:rsid w:val="003B26E3"/>
    <w:rsid w:val="003B2803"/>
    <w:rsid w:val="003B2AE3"/>
    <w:rsid w:val="003B33D4"/>
    <w:rsid w:val="003B342C"/>
    <w:rsid w:val="003B3BAC"/>
    <w:rsid w:val="003B3BC7"/>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C46"/>
    <w:rsid w:val="003C0D94"/>
    <w:rsid w:val="003C0E47"/>
    <w:rsid w:val="003C1031"/>
    <w:rsid w:val="003C131B"/>
    <w:rsid w:val="003C1360"/>
    <w:rsid w:val="003C144D"/>
    <w:rsid w:val="003C1561"/>
    <w:rsid w:val="003C1B7C"/>
    <w:rsid w:val="003C1BEC"/>
    <w:rsid w:val="003C1F67"/>
    <w:rsid w:val="003C2403"/>
    <w:rsid w:val="003C2C52"/>
    <w:rsid w:val="003C2E72"/>
    <w:rsid w:val="003C3424"/>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A"/>
    <w:rsid w:val="003D070C"/>
    <w:rsid w:val="003D0719"/>
    <w:rsid w:val="003D0840"/>
    <w:rsid w:val="003D0893"/>
    <w:rsid w:val="003D0B74"/>
    <w:rsid w:val="003D0FA8"/>
    <w:rsid w:val="003D10A7"/>
    <w:rsid w:val="003D1166"/>
    <w:rsid w:val="003D14EE"/>
    <w:rsid w:val="003D1AE7"/>
    <w:rsid w:val="003D1AEE"/>
    <w:rsid w:val="003D1E8B"/>
    <w:rsid w:val="003D2636"/>
    <w:rsid w:val="003D2B0B"/>
    <w:rsid w:val="003D2BA7"/>
    <w:rsid w:val="003D2BCF"/>
    <w:rsid w:val="003D2D85"/>
    <w:rsid w:val="003D2DC4"/>
    <w:rsid w:val="003D3378"/>
    <w:rsid w:val="003D3437"/>
    <w:rsid w:val="003D3B62"/>
    <w:rsid w:val="003D3D82"/>
    <w:rsid w:val="003D3D9B"/>
    <w:rsid w:val="003D40CF"/>
    <w:rsid w:val="003D4117"/>
    <w:rsid w:val="003D4795"/>
    <w:rsid w:val="003D47D6"/>
    <w:rsid w:val="003D4DBE"/>
    <w:rsid w:val="003D4E20"/>
    <w:rsid w:val="003D4FEC"/>
    <w:rsid w:val="003D5055"/>
    <w:rsid w:val="003D5760"/>
    <w:rsid w:val="003D5E7C"/>
    <w:rsid w:val="003D5ED8"/>
    <w:rsid w:val="003D6067"/>
    <w:rsid w:val="003D6242"/>
    <w:rsid w:val="003D68CA"/>
    <w:rsid w:val="003D69E2"/>
    <w:rsid w:val="003D6A6C"/>
    <w:rsid w:val="003D6D49"/>
    <w:rsid w:val="003D709F"/>
    <w:rsid w:val="003D72B6"/>
    <w:rsid w:val="003D740B"/>
    <w:rsid w:val="003D7492"/>
    <w:rsid w:val="003D7756"/>
    <w:rsid w:val="003D78A6"/>
    <w:rsid w:val="003D7958"/>
    <w:rsid w:val="003D7C8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4CD"/>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457"/>
    <w:rsid w:val="003E6509"/>
    <w:rsid w:val="003E677A"/>
    <w:rsid w:val="003E6798"/>
    <w:rsid w:val="003E69B2"/>
    <w:rsid w:val="003E69F1"/>
    <w:rsid w:val="003E69FE"/>
    <w:rsid w:val="003E6DC9"/>
    <w:rsid w:val="003E70C4"/>
    <w:rsid w:val="003E72B4"/>
    <w:rsid w:val="003E73B0"/>
    <w:rsid w:val="003E7609"/>
    <w:rsid w:val="003E77BF"/>
    <w:rsid w:val="003E7ECA"/>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C6F"/>
    <w:rsid w:val="003F5F75"/>
    <w:rsid w:val="003F63D5"/>
    <w:rsid w:val="003F6769"/>
    <w:rsid w:val="003F6A61"/>
    <w:rsid w:val="003F6F71"/>
    <w:rsid w:val="003F703C"/>
    <w:rsid w:val="003F72B6"/>
    <w:rsid w:val="003F77AC"/>
    <w:rsid w:val="003F797B"/>
    <w:rsid w:val="003F7C42"/>
    <w:rsid w:val="003F7D58"/>
    <w:rsid w:val="004004DB"/>
    <w:rsid w:val="00400B5D"/>
    <w:rsid w:val="00400CFB"/>
    <w:rsid w:val="004014E1"/>
    <w:rsid w:val="0040150A"/>
    <w:rsid w:val="00401685"/>
    <w:rsid w:val="00401838"/>
    <w:rsid w:val="00401DEF"/>
    <w:rsid w:val="00401E2B"/>
    <w:rsid w:val="00402011"/>
    <w:rsid w:val="00402084"/>
    <w:rsid w:val="004020D0"/>
    <w:rsid w:val="004022FD"/>
    <w:rsid w:val="00402586"/>
    <w:rsid w:val="004026C1"/>
    <w:rsid w:val="0040273C"/>
    <w:rsid w:val="00402854"/>
    <w:rsid w:val="0040288B"/>
    <w:rsid w:val="00402B97"/>
    <w:rsid w:val="00402EC6"/>
    <w:rsid w:val="00403340"/>
    <w:rsid w:val="00403646"/>
    <w:rsid w:val="00403713"/>
    <w:rsid w:val="00403972"/>
    <w:rsid w:val="00403B53"/>
    <w:rsid w:val="00403F05"/>
    <w:rsid w:val="00404A43"/>
    <w:rsid w:val="00404B9C"/>
    <w:rsid w:val="00405201"/>
    <w:rsid w:val="0040535B"/>
    <w:rsid w:val="00405647"/>
    <w:rsid w:val="004056C8"/>
    <w:rsid w:val="00405AC8"/>
    <w:rsid w:val="00405CF7"/>
    <w:rsid w:val="00405CF9"/>
    <w:rsid w:val="00405F7F"/>
    <w:rsid w:val="00405FFF"/>
    <w:rsid w:val="00406274"/>
    <w:rsid w:val="004068B7"/>
    <w:rsid w:val="00406AD6"/>
    <w:rsid w:val="00406DD1"/>
    <w:rsid w:val="00407122"/>
    <w:rsid w:val="004072B9"/>
    <w:rsid w:val="004074AB"/>
    <w:rsid w:val="004079DE"/>
    <w:rsid w:val="00410205"/>
    <w:rsid w:val="0041028B"/>
    <w:rsid w:val="00410889"/>
    <w:rsid w:val="00410972"/>
    <w:rsid w:val="00410988"/>
    <w:rsid w:val="00410E10"/>
    <w:rsid w:val="00411991"/>
    <w:rsid w:val="00411CFF"/>
    <w:rsid w:val="004125C7"/>
    <w:rsid w:val="0041265C"/>
    <w:rsid w:val="0041274D"/>
    <w:rsid w:val="004128DA"/>
    <w:rsid w:val="0041297A"/>
    <w:rsid w:val="00412B2C"/>
    <w:rsid w:val="00412B6E"/>
    <w:rsid w:val="00412B85"/>
    <w:rsid w:val="004134D9"/>
    <w:rsid w:val="00413610"/>
    <w:rsid w:val="0041378E"/>
    <w:rsid w:val="0041379F"/>
    <w:rsid w:val="0041383A"/>
    <w:rsid w:val="00413917"/>
    <w:rsid w:val="00413AC3"/>
    <w:rsid w:val="00414040"/>
    <w:rsid w:val="004140E5"/>
    <w:rsid w:val="004140E9"/>
    <w:rsid w:val="00414A8B"/>
    <w:rsid w:val="00414C9E"/>
    <w:rsid w:val="00414CB7"/>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950"/>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643"/>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7FF"/>
    <w:rsid w:val="0043108E"/>
    <w:rsid w:val="004318D8"/>
    <w:rsid w:val="00431DAE"/>
    <w:rsid w:val="00431FB8"/>
    <w:rsid w:val="00432102"/>
    <w:rsid w:val="00432296"/>
    <w:rsid w:val="00432BE5"/>
    <w:rsid w:val="00432D4D"/>
    <w:rsid w:val="00432FAE"/>
    <w:rsid w:val="00433222"/>
    <w:rsid w:val="0043344E"/>
    <w:rsid w:val="0043354C"/>
    <w:rsid w:val="004337A9"/>
    <w:rsid w:val="0043381F"/>
    <w:rsid w:val="00433D59"/>
    <w:rsid w:val="004341E0"/>
    <w:rsid w:val="004342B4"/>
    <w:rsid w:val="004345D8"/>
    <w:rsid w:val="00434685"/>
    <w:rsid w:val="004349A1"/>
    <w:rsid w:val="00434DA8"/>
    <w:rsid w:val="004353A4"/>
    <w:rsid w:val="004354FF"/>
    <w:rsid w:val="004357FA"/>
    <w:rsid w:val="0043588C"/>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40334"/>
    <w:rsid w:val="00440605"/>
    <w:rsid w:val="0044068C"/>
    <w:rsid w:val="00440779"/>
    <w:rsid w:val="0044079E"/>
    <w:rsid w:val="00440A8B"/>
    <w:rsid w:val="00440C65"/>
    <w:rsid w:val="00440CAD"/>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6EB5"/>
    <w:rsid w:val="0044701A"/>
    <w:rsid w:val="004473F3"/>
    <w:rsid w:val="00447608"/>
    <w:rsid w:val="004478C5"/>
    <w:rsid w:val="00447D82"/>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1F5"/>
    <w:rsid w:val="00455F04"/>
    <w:rsid w:val="00455F32"/>
    <w:rsid w:val="00456ADB"/>
    <w:rsid w:val="00456B09"/>
    <w:rsid w:val="00456FD6"/>
    <w:rsid w:val="00457328"/>
    <w:rsid w:val="00457482"/>
    <w:rsid w:val="00457B7E"/>
    <w:rsid w:val="00457D0D"/>
    <w:rsid w:val="00457D2B"/>
    <w:rsid w:val="004601E2"/>
    <w:rsid w:val="00460253"/>
    <w:rsid w:val="00460517"/>
    <w:rsid w:val="0046066F"/>
    <w:rsid w:val="004609D0"/>
    <w:rsid w:val="00460A1D"/>
    <w:rsid w:val="00460E72"/>
    <w:rsid w:val="004610C5"/>
    <w:rsid w:val="00461101"/>
    <w:rsid w:val="004615F9"/>
    <w:rsid w:val="004618F5"/>
    <w:rsid w:val="00461C68"/>
    <w:rsid w:val="00461EB0"/>
    <w:rsid w:val="00462116"/>
    <w:rsid w:val="00462285"/>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9FA"/>
    <w:rsid w:val="00464AD9"/>
    <w:rsid w:val="00464E33"/>
    <w:rsid w:val="00464F54"/>
    <w:rsid w:val="004651E2"/>
    <w:rsid w:val="00465279"/>
    <w:rsid w:val="004654A0"/>
    <w:rsid w:val="00465DBD"/>
    <w:rsid w:val="004661E0"/>
    <w:rsid w:val="00466749"/>
    <w:rsid w:val="004669CF"/>
    <w:rsid w:val="00466A5C"/>
    <w:rsid w:val="00466F75"/>
    <w:rsid w:val="0046756E"/>
    <w:rsid w:val="00467D76"/>
    <w:rsid w:val="00467F34"/>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1166"/>
    <w:rsid w:val="00481423"/>
    <w:rsid w:val="0048191E"/>
    <w:rsid w:val="00481A05"/>
    <w:rsid w:val="00481D41"/>
    <w:rsid w:val="00481DCF"/>
    <w:rsid w:val="004820A6"/>
    <w:rsid w:val="00482328"/>
    <w:rsid w:val="00482484"/>
    <w:rsid w:val="0048272D"/>
    <w:rsid w:val="00482757"/>
    <w:rsid w:val="0048289C"/>
    <w:rsid w:val="00482959"/>
    <w:rsid w:val="004829D4"/>
    <w:rsid w:val="00482B47"/>
    <w:rsid w:val="00482E91"/>
    <w:rsid w:val="0048389F"/>
    <w:rsid w:val="00483C4F"/>
    <w:rsid w:val="00483D7C"/>
    <w:rsid w:val="00484059"/>
    <w:rsid w:val="00484092"/>
    <w:rsid w:val="004840EC"/>
    <w:rsid w:val="0048419A"/>
    <w:rsid w:val="00484650"/>
    <w:rsid w:val="00484AE1"/>
    <w:rsid w:val="00484FE2"/>
    <w:rsid w:val="0048529A"/>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1B"/>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0E29"/>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64"/>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711"/>
    <w:rsid w:val="004B3914"/>
    <w:rsid w:val="004B3C37"/>
    <w:rsid w:val="004B40E4"/>
    <w:rsid w:val="004B434A"/>
    <w:rsid w:val="004B45D5"/>
    <w:rsid w:val="004B4756"/>
    <w:rsid w:val="004B4F41"/>
    <w:rsid w:val="004B4F4A"/>
    <w:rsid w:val="004B5010"/>
    <w:rsid w:val="004B506B"/>
    <w:rsid w:val="004B5D12"/>
    <w:rsid w:val="004B6051"/>
    <w:rsid w:val="004B651C"/>
    <w:rsid w:val="004B6916"/>
    <w:rsid w:val="004B6995"/>
    <w:rsid w:val="004B7710"/>
    <w:rsid w:val="004B78D2"/>
    <w:rsid w:val="004B7A28"/>
    <w:rsid w:val="004B7E91"/>
    <w:rsid w:val="004B7FB3"/>
    <w:rsid w:val="004C0066"/>
    <w:rsid w:val="004C032F"/>
    <w:rsid w:val="004C0941"/>
    <w:rsid w:val="004C0F34"/>
    <w:rsid w:val="004C13B0"/>
    <w:rsid w:val="004C15D2"/>
    <w:rsid w:val="004C173B"/>
    <w:rsid w:val="004C18DD"/>
    <w:rsid w:val="004C19E8"/>
    <w:rsid w:val="004C1A99"/>
    <w:rsid w:val="004C1CDC"/>
    <w:rsid w:val="004C1D9B"/>
    <w:rsid w:val="004C1E9A"/>
    <w:rsid w:val="004C1F25"/>
    <w:rsid w:val="004C1FAA"/>
    <w:rsid w:val="004C201E"/>
    <w:rsid w:val="004C232F"/>
    <w:rsid w:val="004C2443"/>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4F"/>
    <w:rsid w:val="004D065E"/>
    <w:rsid w:val="004D07B4"/>
    <w:rsid w:val="004D0AE4"/>
    <w:rsid w:val="004D0B16"/>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B25"/>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0D4"/>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1D5F"/>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990"/>
    <w:rsid w:val="004F6D84"/>
    <w:rsid w:val="004F7427"/>
    <w:rsid w:val="004F753A"/>
    <w:rsid w:val="004F757B"/>
    <w:rsid w:val="004F7821"/>
    <w:rsid w:val="004F79EC"/>
    <w:rsid w:val="004F7C6F"/>
    <w:rsid w:val="004F7C78"/>
    <w:rsid w:val="004F7C94"/>
    <w:rsid w:val="00500165"/>
    <w:rsid w:val="00500911"/>
    <w:rsid w:val="00500CBF"/>
    <w:rsid w:val="00500EDF"/>
    <w:rsid w:val="00501635"/>
    <w:rsid w:val="00501B65"/>
    <w:rsid w:val="00501BB5"/>
    <w:rsid w:val="00501D66"/>
    <w:rsid w:val="00501E86"/>
    <w:rsid w:val="00501EFE"/>
    <w:rsid w:val="0050354F"/>
    <w:rsid w:val="0050369E"/>
    <w:rsid w:val="005039FE"/>
    <w:rsid w:val="00503AA8"/>
    <w:rsid w:val="00503CC3"/>
    <w:rsid w:val="00503E4D"/>
    <w:rsid w:val="005043BB"/>
    <w:rsid w:val="0050489C"/>
    <w:rsid w:val="005048A5"/>
    <w:rsid w:val="00504F3C"/>
    <w:rsid w:val="0050503C"/>
    <w:rsid w:val="005052D2"/>
    <w:rsid w:val="0050530A"/>
    <w:rsid w:val="0050534C"/>
    <w:rsid w:val="005056E5"/>
    <w:rsid w:val="00505890"/>
    <w:rsid w:val="00505C98"/>
    <w:rsid w:val="00505EB4"/>
    <w:rsid w:val="00505F39"/>
    <w:rsid w:val="005063EC"/>
    <w:rsid w:val="005064B3"/>
    <w:rsid w:val="00506598"/>
    <w:rsid w:val="005068A2"/>
    <w:rsid w:val="00506B85"/>
    <w:rsid w:val="00506B95"/>
    <w:rsid w:val="00506BC6"/>
    <w:rsid w:val="00506BF3"/>
    <w:rsid w:val="00506EC4"/>
    <w:rsid w:val="0050746B"/>
    <w:rsid w:val="00507FCE"/>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309"/>
    <w:rsid w:val="00521CCE"/>
    <w:rsid w:val="00521F3E"/>
    <w:rsid w:val="005223D2"/>
    <w:rsid w:val="00522B95"/>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6F65"/>
    <w:rsid w:val="005278A0"/>
    <w:rsid w:val="005279DB"/>
    <w:rsid w:val="00527DB9"/>
    <w:rsid w:val="0053006C"/>
    <w:rsid w:val="005309F5"/>
    <w:rsid w:val="00531167"/>
    <w:rsid w:val="00531490"/>
    <w:rsid w:val="00531663"/>
    <w:rsid w:val="0053183B"/>
    <w:rsid w:val="00531B00"/>
    <w:rsid w:val="00531D19"/>
    <w:rsid w:val="005323C9"/>
    <w:rsid w:val="0053248B"/>
    <w:rsid w:val="005326D5"/>
    <w:rsid w:val="00532BDF"/>
    <w:rsid w:val="005333AD"/>
    <w:rsid w:val="0053345C"/>
    <w:rsid w:val="005334E1"/>
    <w:rsid w:val="0053388F"/>
    <w:rsid w:val="005341F7"/>
    <w:rsid w:val="00534362"/>
    <w:rsid w:val="00534E78"/>
    <w:rsid w:val="00534EC0"/>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A13"/>
    <w:rsid w:val="00537D11"/>
    <w:rsid w:val="00537EAF"/>
    <w:rsid w:val="00540068"/>
    <w:rsid w:val="00540A15"/>
    <w:rsid w:val="00540A19"/>
    <w:rsid w:val="00540FA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A1A"/>
    <w:rsid w:val="00550BB2"/>
    <w:rsid w:val="00550F7C"/>
    <w:rsid w:val="0055129A"/>
    <w:rsid w:val="005512A5"/>
    <w:rsid w:val="00551419"/>
    <w:rsid w:val="0055213B"/>
    <w:rsid w:val="00552415"/>
    <w:rsid w:val="00552499"/>
    <w:rsid w:val="0055291C"/>
    <w:rsid w:val="00552D8C"/>
    <w:rsid w:val="00553023"/>
    <w:rsid w:val="0055311A"/>
    <w:rsid w:val="00553C45"/>
    <w:rsid w:val="00553F91"/>
    <w:rsid w:val="0055436C"/>
    <w:rsid w:val="005548DC"/>
    <w:rsid w:val="00554FBE"/>
    <w:rsid w:val="0055503D"/>
    <w:rsid w:val="0055516A"/>
    <w:rsid w:val="0055545B"/>
    <w:rsid w:val="00555619"/>
    <w:rsid w:val="00555A96"/>
    <w:rsid w:val="00555BB0"/>
    <w:rsid w:val="00555FBB"/>
    <w:rsid w:val="00556010"/>
    <w:rsid w:val="0055627D"/>
    <w:rsid w:val="00556579"/>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10A"/>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A6F"/>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0F87"/>
    <w:rsid w:val="00571A86"/>
    <w:rsid w:val="00571ABC"/>
    <w:rsid w:val="00571CDC"/>
    <w:rsid w:val="00571E10"/>
    <w:rsid w:val="005721C5"/>
    <w:rsid w:val="00572369"/>
    <w:rsid w:val="00572A6D"/>
    <w:rsid w:val="00572B0A"/>
    <w:rsid w:val="00572C5B"/>
    <w:rsid w:val="00573395"/>
    <w:rsid w:val="00573BC4"/>
    <w:rsid w:val="00573CFC"/>
    <w:rsid w:val="00574034"/>
    <w:rsid w:val="005746A2"/>
    <w:rsid w:val="00574F55"/>
    <w:rsid w:val="005756A8"/>
    <w:rsid w:val="005761C7"/>
    <w:rsid w:val="005761DD"/>
    <w:rsid w:val="00576416"/>
    <w:rsid w:val="005767C9"/>
    <w:rsid w:val="005769E8"/>
    <w:rsid w:val="00576D54"/>
    <w:rsid w:val="00576E16"/>
    <w:rsid w:val="0057709B"/>
    <w:rsid w:val="005777D0"/>
    <w:rsid w:val="005778F0"/>
    <w:rsid w:val="00577935"/>
    <w:rsid w:val="00577BA6"/>
    <w:rsid w:val="00577C75"/>
    <w:rsid w:val="00577D01"/>
    <w:rsid w:val="005802DC"/>
    <w:rsid w:val="00580311"/>
    <w:rsid w:val="005804B9"/>
    <w:rsid w:val="005804DB"/>
    <w:rsid w:val="005807D7"/>
    <w:rsid w:val="005808FB"/>
    <w:rsid w:val="00580C50"/>
    <w:rsid w:val="00580D8B"/>
    <w:rsid w:val="005813A5"/>
    <w:rsid w:val="00581424"/>
    <w:rsid w:val="0058192F"/>
    <w:rsid w:val="005819B6"/>
    <w:rsid w:val="005822F3"/>
    <w:rsid w:val="0058232E"/>
    <w:rsid w:val="0058284A"/>
    <w:rsid w:val="0058299B"/>
    <w:rsid w:val="00582A08"/>
    <w:rsid w:val="00582BE0"/>
    <w:rsid w:val="00582CF2"/>
    <w:rsid w:val="0058327E"/>
    <w:rsid w:val="00583316"/>
    <w:rsid w:val="00583848"/>
    <w:rsid w:val="00583951"/>
    <w:rsid w:val="00584468"/>
    <w:rsid w:val="00584561"/>
    <w:rsid w:val="00584616"/>
    <w:rsid w:val="00584EE9"/>
    <w:rsid w:val="00584F10"/>
    <w:rsid w:val="00585A8D"/>
    <w:rsid w:val="00585C2D"/>
    <w:rsid w:val="005860CF"/>
    <w:rsid w:val="005863BB"/>
    <w:rsid w:val="005864D4"/>
    <w:rsid w:val="0058663C"/>
    <w:rsid w:val="0058670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634"/>
    <w:rsid w:val="0059175C"/>
    <w:rsid w:val="005917DB"/>
    <w:rsid w:val="00591A5F"/>
    <w:rsid w:val="00591CB5"/>
    <w:rsid w:val="00591CD2"/>
    <w:rsid w:val="00591D72"/>
    <w:rsid w:val="00592044"/>
    <w:rsid w:val="005923AB"/>
    <w:rsid w:val="00593633"/>
    <w:rsid w:val="00593E34"/>
    <w:rsid w:val="00593EF0"/>
    <w:rsid w:val="00594005"/>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484"/>
    <w:rsid w:val="0059778F"/>
    <w:rsid w:val="00597EA2"/>
    <w:rsid w:val="005A017B"/>
    <w:rsid w:val="005A01CC"/>
    <w:rsid w:val="005A04F4"/>
    <w:rsid w:val="005A059D"/>
    <w:rsid w:val="005A05E8"/>
    <w:rsid w:val="005A075B"/>
    <w:rsid w:val="005A0867"/>
    <w:rsid w:val="005A0D46"/>
    <w:rsid w:val="005A0D75"/>
    <w:rsid w:val="005A0DFF"/>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3B25"/>
    <w:rsid w:val="005A4517"/>
    <w:rsid w:val="005A45AC"/>
    <w:rsid w:val="005A47F8"/>
    <w:rsid w:val="005A4A0C"/>
    <w:rsid w:val="005A4A2F"/>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6F1"/>
    <w:rsid w:val="005B29BC"/>
    <w:rsid w:val="005B2BD1"/>
    <w:rsid w:val="005B2E61"/>
    <w:rsid w:val="005B2F84"/>
    <w:rsid w:val="005B353F"/>
    <w:rsid w:val="005B3731"/>
    <w:rsid w:val="005B46A1"/>
    <w:rsid w:val="005B4DA5"/>
    <w:rsid w:val="005B4F96"/>
    <w:rsid w:val="005B543D"/>
    <w:rsid w:val="005B63ED"/>
    <w:rsid w:val="005B65B2"/>
    <w:rsid w:val="005B6A3C"/>
    <w:rsid w:val="005B6BCC"/>
    <w:rsid w:val="005B6E49"/>
    <w:rsid w:val="005B6EC7"/>
    <w:rsid w:val="005B7396"/>
    <w:rsid w:val="005B7573"/>
    <w:rsid w:val="005B75CC"/>
    <w:rsid w:val="005B7AB4"/>
    <w:rsid w:val="005B7ACC"/>
    <w:rsid w:val="005B7AEA"/>
    <w:rsid w:val="005B7B90"/>
    <w:rsid w:val="005B7E09"/>
    <w:rsid w:val="005C0045"/>
    <w:rsid w:val="005C01DC"/>
    <w:rsid w:val="005C04A6"/>
    <w:rsid w:val="005C062B"/>
    <w:rsid w:val="005C0691"/>
    <w:rsid w:val="005C09E0"/>
    <w:rsid w:val="005C0B73"/>
    <w:rsid w:val="005C0BCB"/>
    <w:rsid w:val="005C0CBF"/>
    <w:rsid w:val="005C0FC4"/>
    <w:rsid w:val="005C1AB6"/>
    <w:rsid w:val="005C2267"/>
    <w:rsid w:val="005C2306"/>
    <w:rsid w:val="005C2508"/>
    <w:rsid w:val="005C25D4"/>
    <w:rsid w:val="005C26A4"/>
    <w:rsid w:val="005C3467"/>
    <w:rsid w:val="005C35F1"/>
    <w:rsid w:val="005C3F38"/>
    <w:rsid w:val="005C40D0"/>
    <w:rsid w:val="005C42A5"/>
    <w:rsid w:val="005C43A9"/>
    <w:rsid w:val="005C44BB"/>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CCA"/>
    <w:rsid w:val="005C6E48"/>
    <w:rsid w:val="005C6EC0"/>
    <w:rsid w:val="005C7040"/>
    <w:rsid w:val="005C7544"/>
    <w:rsid w:val="005C7595"/>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BB2"/>
    <w:rsid w:val="005D2D5F"/>
    <w:rsid w:val="005D34B8"/>
    <w:rsid w:val="005D34D9"/>
    <w:rsid w:val="005D3BE4"/>
    <w:rsid w:val="005D4479"/>
    <w:rsid w:val="005D44C3"/>
    <w:rsid w:val="005D457E"/>
    <w:rsid w:val="005D45D0"/>
    <w:rsid w:val="005D473B"/>
    <w:rsid w:val="005D474D"/>
    <w:rsid w:val="005D4A26"/>
    <w:rsid w:val="005D4DF5"/>
    <w:rsid w:val="005D51F7"/>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21"/>
    <w:rsid w:val="005E083A"/>
    <w:rsid w:val="005E08ED"/>
    <w:rsid w:val="005E0FE9"/>
    <w:rsid w:val="005E1326"/>
    <w:rsid w:val="005E146C"/>
    <w:rsid w:val="005E19DD"/>
    <w:rsid w:val="005E2010"/>
    <w:rsid w:val="005E2194"/>
    <w:rsid w:val="005E2723"/>
    <w:rsid w:val="005E2A44"/>
    <w:rsid w:val="005E2B16"/>
    <w:rsid w:val="005E2E4E"/>
    <w:rsid w:val="005E2FB8"/>
    <w:rsid w:val="005E33D2"/>
    <w:rsid w:val="005E3CB2"/>
    <w:rsid w:val="005E43C7"/>
    <w:rsid w:val="005E44F5"/>
    <w:rsid w:val="005E4AA4"/>
    <w:rsid w:val="005E4BF4"/>
    <w:rsid w:val="005E4CC0"/>
    <w:rsid w:val="005E56A7"/>
    <w:rsid w:val="005E5A52"/>
    <w:rsid w:val="005E6198"/>
    <w:rsid w:val="005E673A"/>
    <w:rsid w:val="005E6B2B"/>
    <w:rsid w:val="005E6B9C"/>
    <w:rsid w:val="005E6C9B"/>
    <w:rsid w:val="005E6DF7"/>
    <w:rsid w:val="005E6EEE"/>
    <w:rsid w:val="005E716A"/>
    <w:rsid w:val="005E72BA"/>
    <w:rsid w:val="005E7672"/>
    <w:rsid w:val="005E768F"/>
    <w:rsid w:val="005E779C"/>
    <w:rsid w:val="005E7A3A"/>
    <w:rsid w:val="005E7EFF"/>
    <w:rsid w:val="005F02D7"/>
    <w:rsid w:val="005F0760"/>
    <w:rsid w:val="005F0901"/>
    <w:rsid w:val="005F096D"/>
    <w:rsid w:val="005F0BBE"/>
    <w:rsid w:val="005F107D"/>
    <w:rsid w:val="005F110C"/>
    <w:rsid w:val="005F12AA"/>
    <w:rsid w:val="005F1648"/>
    <w:rsid w:val="005F1760"/>
    <w:rsid w:val="005F1845"/>
    <w:rsid w:val="005F18CF"/>
    <w:rsid w:val="005F1A6C"/>
    <w:rsid w:val="005F1B93"/>
    <w:rsid w:val="005F1C5B"/>
    <w:rsid w:val="005F1D19"/>
    <w:rsid w:val="005F1D7C"/>
    <w:rsid w:val="005F1E86"/>
    <w:rsid w:val="005F20EA"/>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90E"/>
    <w:rsid w:val="005F4D7A"/>
    <w:rsid w:val="005F4E88"/>
    <w:rsid w:val="005F54EA"/>
    <w:rsid w:val="005F59CF"/>
    <w:rsid w:val="005F5EE1"/>
    <w:rsid w:val="005F62B2"/>
    <w:rsid w:val="005F62D1"/>
    <w:rsid w:val="005F6833"/>
    <w:rsid w:val="005F6BBC"/>
    <w:rsid w:val="005F7205"/>
    <w:rsid w:val="005F7AA3"/>
    <w:rsid w:val="005F7AC7"/>
    <w:rsid w:val="0060005A"/>
    <w:rsid w:val="006001A4"/>
    <w:rsid w:val="0060081C"/>
    <w:rsid w:val="00600BE2"/>
    <w:rsid w:val="00600C11"/>
    <w:rsid w:val="00600DE9"/>
    <w:rsid w:val="00601272"/>
    <w:rsid w:val="0060177F"/>
    <w:rsid w:val="0060193F"/>
    <w:rsid w:val="006019AF"/>
    <w:rsid w:val="00601C06"/>
    <w:rsid w:val="00601E04"/>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8B"/>
    <w:rsid w:val="006057D0"/>
    <w:rsid w:val="00605CAD"/>
    <w:rsid w:val="00605D85"/>
    <w:rsid w:val="00605DFE"/>
    <w:rsid w:val="00606599"/>
    <w:rsid w:val="00606891"/>
    <w:rsid w:val="00606CB3"/>
    <w:rsid w:val="00606D79"/>
    <w:rsid w:val="00606E69"/>
    <w:rsid w:val="0060704F"/>
    <w:rsid w:val="0060710E"/>
    <w:rsid w:val="00607218"/>
    <w:rsid w:val="00607A35"/>
    <w:rsid w:val="00607EB8"/>
    <w:rsid w:val="0061005C"/>
    <w:rsid w:val="0061007B"/>
    <w:rsid w:val="0061011E"/>
    <w:rsid w:val="006102B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B3A"/>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C8"/>
    <w:rsid w:val="006168E6"/>
    <w:rsid w:val="00616B4E"/>
    <w:rsid w:val="00616D77"/>
    <w:rsid w:val="00616FFD"/>
    <w:rsid w:val="0061702E"/>
    <w:rsid w:val="0061719A"/>
    <w:rsid w:val="006173B7"/>
    <w:rsid w:val="006177E8"/>
    <w:rsid w:val="00617CD6"/>
    <w:rsid w:val="0062005F"/>
    <w:rsid w:val="00620BBC"/>
    <w:rsid w:val="0062106F"/>
    <w:rsid w:val="00621548"/>
    <w:rsid w:val="006219A5"/>
    <w:rsid w:val="00621DF8"/>
    <w:rsid w:val="00621E4A"/>
    <w:rsid w:val="00621E99"/>
    <w:rsid w:val="006224A3"/>
    <w:rsid w:val="006224C1"/>
    <w:rsid w:val="006226CF"/>
    <w:rsid w:val="00622766"/>
    <w:rsid w:val="00622C65"/>
    <w:rsid w:val="00623091"/>
    <w:rsid w:val="006230D3"/>
    <w:rsid w:val="00623A66"/>
    <w:rsid w:val="00623AFD"/>
    <w:rsid w:val="00623BDD"/>
    <w:rsid w:val="00623D55"/>
    <w:rsid w:val="00623E6E"/>
    <w:rsid w:val="00623F76"/>
    <w:rsid w:val="00624111"/>
    <w:rsid w:val="00624669"/>
    <w:rsid w:val="00625320"/>
    <w:rsid w:val="00625B50"/>
    <w:rsid w:val="00625BF9"/>
    <w:rsid w:val="00625CF2"/>
    <w:rsid w:val="00625E7A"/>
    <w:rsid w:val="00625F51"/>
    <w:rsid w:val="00626092"/>
    <w:rsid w:val="00626214"/>
    <w:rsid w:val="00626365"/>
    <w:rsid w:val="00626920"/>
    <w:rsid w:val="00626C0E"/>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361"/>
    <w:rsid w:val="0063142A"/>
    <w:rsid w:val="006314D1"/>
    <w:rsid w:val="00631679"/>
    <w:rsid w:val="0063174B"/>
    <w:rsid w:val="00631759"/>
    <w:rsid w:val="00631792"/>
    <w:rsid w:val="00631B7D"/>
    <w:rsid w:val="00631D2A"/>
    <w:rsid w:val="00631EBD"/>
    <w:rsid w:val="00632007"/>
    <w:rsid w:val="00632110"/>
    <w:rsid w:val="006321C8"/>
    <w:rsid w:val="0063228C"/>
    <w:rsid w:val="0063231F"/>
    <w:rsid w:val="00632790"/>
    <w:rsid w:val="00632843"/>
    <w:rsid w:val="00632DAF"/>
    <w:rsid w:val="00633144"/>
    <w:rsid w:val="0063334C"/>
    <w:rsid w:val="00633361"/>
    <w:rsid w:val="00633721"/>
    <w:rsid w:val="006339C7"/>
    <w:rsid w:val="00633C65"/>
    <w:rsid w:val="00634395"/>
    <w:rsid w:val="006348E1"/>
    <w:rsid w:val="00634908"/>
    <w:rsid w:val="006352A0"/>
    <w:rsid w:val="006355E0"/>
    <w:rsid w:val="006359A0"/>
    <w:rsid w:val="00636529"/>
    <w:rsid w:val="006365C5"/>
    <w:rsid w:val="00636FBA"/>
    <w:rsid w:val="00637502"/>
    <w:rsid w:val="00637F00"/>
    <w:rsid w:val="00637F8A"/>
    <w:rsid w:val="00640085"/>
    <w:rsid w:val="00640133"/>
    <w:rsid w:val="006406FF"/>
    <w:rsid w:val="0064077E"/>
    <w:rsid w:val="006407E2"/>
    <w:rsid w:val="00640868"/>
    <w:rsid w:val="0064108F"/>
    <w:rsid w:val="0064182B"/>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4692"/>
    <w:rsid w:val="00645313"/>
    <w:rsid w:val="006453FD"/>
    <w:rsid w:val="00645426"/>
    <w:rsid w:val="00645B42"/>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9E6"/>
    <w:rsid w:val="00655E09"/>
    <w:rsid w:val="006563EB"/>
    <w:rsid w:val="00656643"/>
    <w:rsid w:val="00656E36"/>
    <w:rsid w:val="0065758C"/>
    <w:rsid w:val="006576CA"/>
    <w:rsid w:val="00657A46"/>
    <w:rsid w:val="00657AEE"/>
    <w:rsid w:val="006601AC"/>
    <w:rsid w:val="00660265"/>
    <w:rsid w:val="00660445"/>
    <w:rsid w:val="0066051C"/>
    <w:rsid w:val="0066090F"/>
    <w:rsid w:val="006611C8"/>
    <w:rsid w:val="0066130F"/>
    <w:rsid w:val="0066144B"/>
    <w:rsid w:val="006615CF"/>
    <w:rsid w:val="006616DD"/>
    <w:rsid w:val="006617E7"/>
    <w:rsid w:val="006618AC"/>
    <w:rsid w:val="006618FB"/>
    <w:rsid w:val="00661A46"/>
    <w:rsid w:val="0066204F"/>
    <w:rsid w:val="006629DD"/>
    <w:rsid w:val="00662B85"/>
    <w:rsid w:val="00662F39"/>
    <w:rsid w:val="00662FE8"/>
    <w:rsid w:val="00663468"/>
    <w:rsid w:val="006637A4"/>
    <w:rsid w:val="0066487A"/>
    <w:rsid w:val="00664E25"/>
    <w:rsid w:val="00664E76"/>
    <w:rsid w:val="00664EF5"/>
    <w:rsid w:val="006650EE"/>
    <w:rsid w:val="00665373"/>
    <w:rsid w:val="0066574B"/>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692"/>
    <w:rsid w:val="006718A4"/>
    <w:rsid w:val="00671A8B"/>
    <w:rsid w:val="00671D9C"/>
    <w:rsid w:val="00672002"/>
    <w:rsid w:val="00672B6E"/>
    <w:rsid w:val="00672F82"/>
    <w:rsid w:val="0067326D"/>
    <w:rsid w:val="00673386"/>
    <w:rsid w:val="006733EB"/>
    <w:rsid w:val="0067373A"/>
    <w:rsid w:val="00673CEE"/>
    <w:rsid w:val="00673F3E"/>
    <w:rsid w:val="00674674"/>
    <w:rsid w:val="00674734"/>
    <w:rsid w:val="00674740"/>
    <w:rsid w:val="006748B8"/>
    <w:rsid w:val="006748F4"/>
    <w:rsid w:val="00674BBE"/>
    <w:rsid w:val="00674D9C"/>
    <w:rsid w:val="00675033"/>
    <w:rsid w:val="00675144"/>
    <w:rsid w:val="0067573D"/>
    <w:rsid w:val="006757D0"/>
    <w:rsid w:val="0067645E"/>
    <w:rsid w:val="0067668E"/>
    <w:rsid w:val="006768AB"/>
    <w:rsid w:val="00676AF3"/>
    <w:rsid w:val="00676B53"/>
    <w:rsid w:val="00677071"/>
    <w:rsid w:val="006772E2"/>
    <w:rsid w:val="00677696"/>
    <w:rsid w:val="0067788B"/>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4D8A"/>
    <w:rsid w:val="00684ED4"/>
    <w:rsid w:val="006850FF"/>
    <w:rsid w:val="00685277"/>
    <w:rsid w:val="0068569A"/>
    <w:rsid w:val="006856A8"/>
    <w:rsid w:val="00685E05"/>
    <w:rsid w:val="00685E87"/>
    <w:rsid w:val="006868CD"/>
    <w:rsid w:val="006869B8"/>
    <w:rsid w:val="00686AB3"/>
    <w:rsid w:val="00686EDC"/>
    <w:rsid w:val="0068740B"/>
    <w:rsid w:val="006874CB"/>
    <w:rsid w:val="0068785A"/>
    <w:rsid w:val="00690170"/>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3FFF"/>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572"/>
    <w:rsid w:val="00697913"/>
    <w:rsid w:val="00697F42"/>
    <w:rsid w:val="00697F85"/>
    <w:rsid w:val="006A0091"/>
    <w:rsid w:val="006A028E"/>
    <w:rsid w:val="006A02E7"/>
    <w:rsid w:val="006A03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50B"/>
    <w:rsid w:val="006A56BA"/>
    <w:rsid w:val="006A5796"/>
    <w:rsid w:val="006A5AB6"/>
    <w:rsid w:val="006A5C72"/>
    <w:rsid w:val="006A5DA1"/>
    <w:rsid w:val="006A5E5E"/>
    <w:rsid w:val="006A63B7"/>
    <w:rsid w:val="006A651B"/>
    <w:rsid w:val="006A681F"/>
    <w:rsid w:val="006A6987"/>
    <w:rsid w:val="006A6A1D"/>
    <w:rsid w:val="006A6ACA"/>
    <w:rsid w:val="006A6C9B"/>
    <w:rsid w:val="006A7078"/>
    <w:rsid w:val="006B0548"/>
    <w:rsid w:val="006B08EC"/>
    <w:rsid w:val="006B0A84"/>
    <w:rsid w:val="006B0EEC"/>
    <w:rsid w:val="006B1051"/>
    <w:rsid w:val="006B12AA"/>
    <w:rsid w:val="006B1680"/>
    <w:rsid w:val="006B1700"/>
    <w:rsid w:val="006B178F"/>
    <w:rsid w:val="006B1DC7"/>
    <w:rsid w:val="006B1E61"/>
    <w:rsid w:val="006B1F2D"/>
    <w:rsid w:val="006B1F48"/>
    <w:rsid w:val="006B26BC"/>
    <w:rsid w:val="006B27AC"/>
    <w:rsid w:val="006B2E12"/>
    <w:rsid w:val="006B3015"/>
    <w:rsid w:val="006B3276"/>
    <w:rsid w:val="006B3397"/>
    <w:rsid w:val="006B35B3"/>
    <w:rsid w:val="006B3B44"/>
    <w:rsid w:val="006B4273"/>
    <w:rsid w:val="006B47B7"/>
    <w:rsid w:val="006B4A54"/>
    <w:rsid w:val="006B508F"/>
    <w:rsid w:val="006B525C"/>
    <w:rsid w:val="006B5729"/>
    <w:rsid w:val="006B5CB6"/>
    <w:rsid w:val="006B5F36"/>
    <w:rsid w:val="006B6474"/>
    <w:rsid w:val="006B65B4"/>
    <w:rsid w:val="006B6974"/>
    <w:rsid w:val="006B6A02"/>
    <w:rsid w:val="006B6C2B"/>
    <w:rsid w:val="006B7374"/>
    <w:rsid w:val="006B7C3C"/>
    <w:rsid w:val="006B7C3E"/>
    <w:rsid w:val="006B7C6D"/>
    <w:rsid w:val="006B7CC5"/>
    <w:rsid w:val="006C058F"/>
    <w:rsid w:val="006C0E44"/>
    <w:rsid w:val="006C1040"/>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074"/>
    <w:rsid w:val="006D039F"/>
    <w:rsid w:val="006D03EA"/>
    <w:rsid w:val="006D08FB"/>
    <w:rsid w:val="006D093F"/>
    <w:rsid w:val="006D09E3"/>
    <w:rsid w:val="006D0A1E"/>
    <w:rsid w:val="006D0D1F"/>
    <w:rsid w:val="006D0E75"/>
    <w:rsid w:val="006D0E9F"/>
    <w:rsid w:val="006D1304"/>
    <w:rsid w:val="006D13E5"/>
    <w:rsid w:val="006D14F6"/>
    <w:rsid w:val="006D1504"/>
    <w:rsid w:val="006D1587"/>
    <w:rsid w:val="006D161B"/>
    <w:rsid w:val="006D17C2"/>
    <w:rsid w:val="006D18EB"/>
    <w:rsid w:val="006D1AE0"/>
    <w:rsid w:val="006D2034"/>
    <w:rsid w:val="006D21F9"/>
    <w:rsid w:val="006D28A9"/>
    <w:rsid w:val="006D28F8"/>
    <w:rsid w:val="006D29F0"/>
    <w:rsid w:val="006D2CD6"/>
    <w:rsid w:val="006D36C0"/>
    <w:rsid w:val="006D3C07"/>
    <w:rsid w:val="006D3C5F"/>
    <w:rsid w:val="006D40E4"/>
    <w:rsid w:val="006D41FD"/>
    <w:rsid w:val="006D45AC"/>
    <w:rsid w:val="006D46A7"/>
    <w:rsid w:val="006D4A26"/>
    <w:rsid w:val="006D5AB9"/>
    <w:rsid w:val="006D5B03"/>
    <w:rsid w:val="006D6031"/>
    <w:rsid w:val="006D65C4"/>
    <w:rsid w:val="006D666B"/>
    <w:rsid w:val="006D6A52"/>
    <w:rsid w:val="006D6D0C"/>
    <w:rsid w:val="006D7223"/>
    <w:rsid w:val="006D7433"/>
    <w:rsid w:val="006D7B17"/>
    <w:rsid w:val="006D7BC2"/>
    <w:rsid w:val="006D7F14"/>
    <w:rsid w:val="006D7F3D"/>
    <w:rsid w:val="006E06B1"/>
    <w:rsid w:val="006E0A0A"/>
    <w:rsid w:val="006E0C02"/>
    <w:rsid w:val="006E0F35"/>
    <w:rsid w:val="006E0F77"/>
    <w:rsid w:val="006E1995"/>
    <w:rsid w:val="006E1A1D"/>
    <w:rsid w:val="006E1FA7"/>
    <w:rsid w:val="006E24A9"/>
    <w:rsid w:val="006E26BF"/>
    <w:rsid w:val="006E29A4"/>
    <w:rsid w:val="006E2A3A"/>
    <w:rsid w:val="006E3073"/>
    <w:rsid w:val="006E31A4"/>
    <w:rsid w:val="006E31DC"/>
    <w:rsid w:val="006E3562"/>
    <w:rsid w:val="006E379A"/>
    <w:rsid w:val="006E3878"/>
    <w:rsid w:val="006E39B3"/>
    <w:rsid w:val="006E4471"/>
    <w:rsid w:val="006E48B6"/>
    <w:rsid w:val="006E4B40"/>
    <w:rsid w:val="006E4D2B"/>
    <w:rsid w:val="006E4E29"/>
    <w:rsid w:val="006E51D0"/>
    <w:rsid w:val="006E520C"/>
    <w:rsid w:val="006E54CF"/>
    <w:rsid w:val="006E5776"/>
    <w:rsid w:val="006E5992"/>
    <w:rsid w:val="006E59D8"/>
    <w:rsid w:val="006E5FDE"/>
    <w:rsid w:val="006E619F"/>
    <w:rsid w:val="006E63BA"/>
    <w:rsid w:val="006E65B4"/>
    <w:rsid w:val="006E6B05"/>
    <w:rsid w:val="006E6CE9"/>
    <w:rsid w:val="006E6F4D"/>
    <w:rsid w:val="006E6F55"/>
    <w:rsid w:val="006E7086"/>
    <w:rsid w:val="006E7139"/>
    <w:rsid w:val="006E727D"/>
    <w:rsid w:val="006E77C7"/>
    <w:rsid w:val="006E7E00"/>
    <w:rsid w:val="006F0852"/>
    <w:rsid w:val="006F0D97"/>
    <w:rsid w:val="006F0E8E"/>
    <w:rsid w:val="006F1389"/>
    <w:rsid w:val="006F13C7"/>
    <w:rsid w:val="006F1935"/>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654"/>
    <w:rsid w:val="006F579D"/>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5A5"/>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2EC2"/>
    <w:rsid w:val="007131D0"/>
    <w:rsid w:val="00713322"/>
    <w:rsid w:val="00713424"/>
    <w:rsid w:val="007138B9"/>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202"/>
    <w:rsid w:val="00720512"/>
    <w:rsid w:val="00720DCF"/>
    <w:rsid w:val="007218E3"/>
    <w:rsid w:val="00721A82"/>
    <w:rsid w:val="00721D3E"/>
    <w:rsid w:val="00721D82"/>
    <w:rsid w:val="00721EB9"/>
    <w:rsid w:val="00722603"/>
    <w:rsid w:val="007226AB"/>
    <w:rsid w:val="007229C4"/>
    <w:rsid w:val="00722F48"/>
    <w:rsid w:val="00723168"/>
    <w:rsid w:val="00723532"/>
    <w:rsid w:val="0072369B"/>
    <w:rsid w:val="007238A4"/>
    <w:rsid w:val="00723943"/>
    <w:rsid w:val="007244E5"/>
    <w:rsid w:val="00724CA0"/>
    <w:rsid w:val="00724E3A"/>
    <w:rsid w:val="00724EFA"/>
    <w:rsid w:val="00725146"/>
    <w:rsid w:val="00725167"/>
    <w:rsid w:val="007252AD"/>
    <w:rsid w:val="007258C4"/>
    <w:rsid w:val="00725A6C"/>
    <w:rsid w:val="0072607B"/>
    <w:rsid w:val="00726181"/>
    <w:rsid w:val="007267B0"/>
    <w:rsid w:val="00726996"/>
    <w:rsid w:val="00726C1B"/>
    <w:rsid w:val="0072700A"/>
    <w:rsid w:val="0072711D"/>
    <w:rsid w:val="00727260"/>
    <w:rsid w:val="0072734E"/>
    <w:rsid w:val="007274FD"/>
    <w:rsid w:val="00727B64"/>
    <w:rsid w:val="00727EFA"/>
    <w:rsid w:val="00730573"/>
    <w:rsid w:val="0073091D"/>
    <w:rsid w:val="00730AD1"/>
    <w:rsid w:val="00730CB0"/>
    <w:rsid w:val="00730D02"/>
    <w:rsid w:val="00730FD8"/>
    <w:rsid w:val="0073126F"/>
    <w:rsid w:val="0073146E"/>
    <w:rsid w:val="007317F8"/>
    <w:rsid w:val="00731B9D"/>
    <w:rsid w:val="00731DA9"/>
    <w:rsid w:val="00731F87"/>
    <w:rsid w:val="0073231E"/>
    <w:rsid w:val="0073250A"/>
    <w:rsid w:val="00732866"/>
    <w:rsid w:val="007328BC"/>
    <w:rsid w:val="00732AE7"/>
    <w:rsid w:val="00732CE1"/>
    <w:rsid w:val="00732D72"/>
    <w:rsid w:val="00732D8C"/>
    <w:rsid w:val="00732EA8"/>
    <w:rsid w:val="00732F2D"/>
    <w:rsid w:val="007334C8"/>
    <w:rsid w:val="00733653"/>
    <w:rsid w:val="00733A97"/>
    <w:rsid w:val="00734123"/>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6FA1"/>
    <w:rsid w:val="00737051"/>
    <w:rsid w:val="0073744C"/>
    <w:rsid w:val="007376CB"/>
    <w:rsid w:val="00737859"/>
    <w:rsid w:val="007378B7"/>
    <w:rsid w:val="00737945"/>
    <w:rsid w:val="00737989"/>
    <w:rsid w:val="00737BDD"/>
    <w:rsid w:val="00737DDA"/>
    <w:rsid w:val="00737F60"/>
    <w:rsid w:val="007405B8"/>
    <w:rsid w:val="00740671"/>
    <w:rsid w:val="00740AC8"/>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5E3"/>
    <w:rsid w:val="0074373A"/>
    <w:rsid w:val="00743B44"/>
    <w:rsid w:val="00744E13"/>
    <w:rsid w:val="00744F15"/>
    <w:rsid w:val="0074503B"/>
    <w:rsid w:val="007450E8"/>
    <w:rsid w:val="007451F1"/>
    <w:rsid w:val="0074550A"/>
    <w:rsid w:val="00745A20"/>
    <w:rsid w:val="00745A51"/>
    <w:rsid w:val="00745FD6"/>
    <w:rsid w:val="00746019"/>
    <w:rsid w:val="007461DB"/>
    <w:rsid w:val="00746E92"/>
    <w:rsid w:val="0074709B"/>
    <w:rsid w:val="007477F4"/>
    <w:rsid w:val="00747A62"/>
    <w:rsid w:val="00747CA8"/>
    <w:rsid w:val="0075009E"/>
    <w:rsid w:val="007502E9"/>
    <w:rsid w:val="007503B4"/>
    <w:rsid w:val="0075051D"/>
    <w:rsid w:val="00750A83"/>
    <w:rsid w:val="00750B59"/>
    <w:rsid w:val="00750F9F"/>
    <w:rsid w:val="00751620"/>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CC4"/>
    <w:rsid w:val="00753DAB"/>
    <w:rsid w:val="00753E19"/>
    <w:rsid w:val="0075410E"/>
    <w:rsid w:val="00754459"/>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0983"/>
    <w:rsid w:val="0076098D"/>
    <w:rsid w:val="0076151D"/>
    <w:rsid w:val="00761660"/>
    <w:rsid w:val="007618A5"/>
    <w:rsid w:val="00761A4E"/>
    <w:rsid w:val="00761A90"/>
    <w:rsid w:val="00762AA5"/>
    <w:rsid w:val="00762B45"/>
    <w:rsid w:val="00762FB7"/>
    <w:rsid w:val="0076302F"/>
    <w:rsid w:val="007634E1"/>
    <w:rsid w:val="0076368F"/>
    <w:rsid w:val="00763829"/>
    <w:rsid w:val="007638B9"/>
    <w:rsid w:val="00763A24"/>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0974"/>
    <w:rsid w:val="0077197B"/>
    <w:rsid w:val="00771B93"/>
    <w:rsid w:val="00771BBD"/>
    <w:rsid w:val="007722FC"/>
    <w:rsid w:val="007725B0"/>
    <w:rsid w:val="007727AD"/>
    <w:rsid w:val="00772820"/>
    <w:rsid w:val="00772955"/>
    <w:rsid w:val="00772B3E"/>
    <w:rsid w:val="00772E69"/>
    <w:rsid w:val="00773195"/>
    <w:rsid w:val="00773838"/>
    <w:rsid w:val="00773AAE"/>
    <w:rsid w:val="00773C1E"/>
    <w:rsid w:val="0077410B"/>
    <w:rsid w:val="00774117"/>
    <w:rsid w:val="007741C5"/>
    <w:rsid w:val="007743AF"/>
    <w:rsid w:val="00774764"/>
    <w:rsid w:val="00774CE4"/>
    <w:rsid w:val="0077508A"/>
    <w:rsid w:val="00775C6E"/>
    <w:rsid w:val="00775D29"/>
    <w:rsid w:val="007760DC"/>
    <w:rsid w:val="00776241"/>
    <w:rsid w:val="007764D0"/>
    <w:rsid w:val="00776606"/>
    <w:rsid w:val="00776673"/>
    <w:rsid w:val="00776744"/>
    <w:rsid w:val="007768AE"/>
    <w:rsid w:val="00776984"/>
    <w:rsid w:val="00776B8D"/>
    <w:rsid w:val="00776BEA"/>
    <w:rsid w:val="00776D50"/>
    <w:rsid w:val="00777B0B"/>
    <w:rsid w:val="00777C13"/>
    <w:rsid w:val="00777E80"/>
    <w:rsid w:val="007802E8"/>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CF"/>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44"/>
    <w:rsid w:val="00792356"/>
    <w:rsid w:val="00792685"/>
    <w:rsid w:val="00792704"/>
    <w:rsid w:val="007928AD"/>
    <w:rsid w:val="00792D90"/>
    <w:rsid w:val="00792E4F"/>
    <w:rsid w:val="00792F87"/>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966"/>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B7B"/>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02E"/>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234"/>
    <w:rsid w:val="007B36AA"/>
    <w:rsid w:val="007B4175"/>
    <w:rsid w:val="007B4246"/>
    <w:rsid w:val="007B42A4"/>
    <w:rsid w:val="007B4366"/>
    <w:rsid w:val="007B4659"/>
    <w:rsid w:val="007B477E"/>
    <w:rsid w:val="007B4F52"/>
    <w:rsid w:val="007B52E6"/>
    <w:rsid w:val="007B5857"/>
    <w:rsid w:val="007B5AED"/>
    <w:rsid w:val="007B5D2D"/>
    <w:rsid w:val="007B64A5"/>
    <w:rsid w:val="007B6840"/>
    <w:rsid w:val="007B6F6D"/>
    <w:rsid w:val="007B7045"/>
    <w:rsid w:val="007B73AA"/>
    <w:rsid w:val="007B7444"/>
    <w:rsid w:val="007B7629"/>
    <w:rsid w:val="007B77A6"/>
    <w:rsid w:val="007B7B26"/>
    <w:rsid w:val="007B7E1D"/>
    <w:rsid w:val="007B7FD3"/>
    <w:rsid w:val="007C0107"/>
    <w:rsid w:val="007C0151"/>
    <w:rsid w:val="007C03C4"/>
    <w:rsid w:val="007C0D05"/>
    <w:rsid w:val="007C0F98"/>
    <w:rsid w:val="007C151B"/>
    <w:rsid w:val="007C207E"/>
    <w:rsid w:val="007C2283"/>
    <w:rsid w:val="007C2691"/>
    <w:rsid w:val="007C2703"/>
    <w:rsid w:val="007C275C"/>
    <w:rsid w:val="007C2AE9"/>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7B2"/>
    <w:rsid w:val="007C5C6D"/>
    <w:rsid w:val="007C679E"/>
    <w:rsid w:val="007C6894"/>
    <w:rsid w:val="007C6B34"/>
    <w:rsid w:val="007C6C44"/>
    <w:rsid w:val="007C6D66"/>
    <w:rsid w:val="007C72CC"/>
    <w:rsid w:val="007C766D"/>
    <w:rsid w:val="007C785A"/>
    <w:rsid w:val="007C7971"/>
    <w:rsid w:val="007C79C1"/>
    <w:rsid w:val="007C7F69"/>
    <w:rsid w:val="007C7FFC"/>
    <w:rsid w:val="007D038E"/>
    <w:rsid w:val="007D03A8"/>
    <w:rsid w:val="007D0416"/>
    <w:rsid w:val="007D05F1"/>
    <w:rsid w:val="007D0BAC"/>
    <w:rsid w:val="007D0CDB"/>
    <w:rsid w:val="007D2555"/>
    <w:rsid w:val="007D28C3"/>
    <w:rsid w:val="007D2AE7"/>
    <w:rsid w:val="007D2B44"/>
    <w:rsid w:val="007D2F53"/>
    <w:rsid w:val="007D2F55"/>
    <w:rsid w:val="007D2F5E"/>
    <w:rsid w:val="007D340F"/>
    <w:rsid w:val="007D36EC"/>
    <w:rsid w:val="007D39A7"/>
    <w:rsid w:val="007D39C5"/>
    <w:rsid w:val="007D3E36"/>
    <w:rsid w:val="007D3FAC"/>
    <w:rsid w:val="007D40B2"/>
    <w:rsid w:val="007D432C"/>
    <w:rsid w:val="007D45DF"/>
    <w:rsid w:val="007D4B32"/>
    <w:rsid w:val="007D4C8F"/>
    <w:rsid w:val="007D4D90"/>
    <w:rsid w:val="007D51EA"/>
    <w:rsid w:val="007D52F2"/>
    <w:rsid w:val="007D53BE"/>
    <w:rsid w:val="007D58E3"/>
    <w:rsid w:val="007D5A4C"/>
    <w:rsid w:val="007D5CE5"/>
    <w:rsid w:val="007D5D92"/>
    <w:rsid w:val="007D5F68"/>
    <w:rsid w:val="007D64C5"/>
    <w:rsid w:val="007D66F3"/>
    <w:rsid w:val="007D6763"/>
    <w:rsid w:val="007D6D62"/>
    <w:rsid w:val="007D6DCC"/>
    <w:rsid w:val="007D6F88"/>
    <w:rsid w:val="007D7160"/>
    <w:rsid w:val="007D738C"/>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7F"/>
    <w:rsid w:val="007E2A9B"/>
    <w:rsid w:val="007E2FF4"/>
    <w:rsid w:val="007E3252"/>
    <w:rsid w:val="007E3279"/>
    <w:rsid w:val="007E33AC"/>
    <w:rsid w:val="007E36AA"/>
    <w:rsid w:val="007E3A3F"/>
    <w:rsid w:val="007E3A95"/>
    <w:rsid w:val="007E3CBD"/>
    <w:rsid w:val="007E3E28"/>
    <w:rsid w:val="007E4889"/>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333"/>
    <w:rsid w:val="007F26CB"/>
    <w:rsid w:val="007F2943"/>
    <w:rsid w:val="007F2D1E"/>
    <w:rsid w:val="007F3612"/>
    <w:rsid w:val="007F3790"/>
    <w:rsid w:val="007F3957"/>
    <w:rsid w:val="007F3BDF"/>
    <w:rsid w:val="007F3E03"/>
    <w:rsid w:val="007F3E4B"/>
    <w:rsid w:val="007F3FC2"/>
    <w:rsid w:val="007F48A2"/>
    <w:rsid w:val="007F4C1A"/>
    <w:rsid w:val="007F4D69"/>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408"/>
    <w:rsid w:val="00802723"/>
    <w:rsid w:val="00802B49"/>
    <w:rsid w:val="00802CD6"/>
    <w:rsid w:val="00802DB8"/>
    <w:rsid w:val="00802F6E"/>
    <w:rsid w:val="00803038"/>
    <w:rsid w:val="00803416"/>
    <w:rsid w:val="00803641"/>
    <w:rsid w:val="00803824"/>
    <w:rsid w:val="00803A3D"/>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0F10"/>
    <w:rsid w:val="0081184C"/>
    <w:rsid w:val="008118F7"/>
    <w:rsid w:val="008119A6"/>
    <w:rsid w:val="00811A61"/>
    <w:rsid w:val="00811B1C"/>
    <w:rsid w:val="00811EBF"/>
    <w:rsid w:val="00811FCC"/>
    <w:rsid w:val="00812063"/>
    <w:rsid w:val="008121AA"/>
    <w:rsid w:val="00812274"/>
    <w:rsid w:val="00812364"/>
    <w:rsid w:val="00812B80"/>
    <w:rsid w:val="00813270"/>
    <w:rsid w:val="008134D6"/>
    <w:rsid w:val="008137E0"/>
    <w:rsid w:val="00813E5E"/>
    <w:rsid w:val="00813ED0"/>
    <w:rsid w:val="00813F92"/>
    <w:rsid w:val="00814143"/>
    <w:rsid w:val="0081428A"/>
    <w:rsid w:val="0081459A"/>
    <w:rsid w:val="00814979"/>
    <w:rsid w:val="00814F10"/>
    <w:rsid w:val="00814F4C"/>
    <w:rsid w:val="0081500C"/>
    <w:rsid w:val="00815102"/>
    <w:rsid w:val="00815117"/>
    <w:rsid w:val="00815AB0"/>
    <w:rsid w:val="00815B81"/>
    <w:rsid w:val="008167BB"/>
    <w:rsid w:val="00816878"/>
    <w:rsid w:val="0081694C"/>
    <w:rsid w:val="00816EE2"/>
    <w:rsid w:val="008170DA"/>
    <w:rsid w:val="0081718D"/>
    <w:rsid w:val="00817245"/>
    <w:rsid w:val="008173A3"/>
    <w:rsid w:val="008176F9"/>
    <w:rsid w:val="008177A5"/>
    <w:rsid w:val="00817C2D"/>
    <w:rsid w:val="00817D2B"/>
    <w:rsid w:val="00817DBB"/>
    <w:rsid w:val="00817F26"/>
    <w:rsid w:val="008203C0"/>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67F"/>
    <w:rsid w:val="00823743"/>
    <w:rsid w:val="00823835"/>
    <w:rsid w:val="008238DB"/>
    <w:rsid w:val="00823B61"/>
    <w:rsid w:val="00823C3D"/>
    <w:rsid w:val="00823EFF"/>
    <w:rsid w:val="0082414F"/>
    <w:rsid w:val="00824270"/>
    <w:rsid w:val="008244A3"/>
    <w:rsid w:val="008246A5"/>
    <w:rsid w:val="00824B1A"/>
    <w:rsid w:val="00824E10"/>
    <w:rsid w:val="008256E8"/>
    <w:rsid w:val="008257A5"/>
    <w:rsid w:val="0082589E"/>
    <w:rsid w:val="00825CA5"/>
    <w:rsid w:val="00826508"/>
    <w:rsid w:val="00826709"/>
    <w:rsid w:val="00827572"/>
    <w:rsid w:val="00827716"/>
    <w:rsid w:val="00827E45"/>
    <w:rsid w:val="0083012C"/>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2E2"/>
    <w:rsid w:val="008358CD"/>
    <w:rsid w:val="008358DD"/>
    <w:rsid w:val="00835A96"/>
    <w:rsid w:val="00835DE7"/>
    <w:rsid w:val="00836116"/>
    <w:rsid w:val="00836254"/>
    <w:rsid w:val="008368C5"/>
    <w:rsid w:val="0083692E"/>
    <w:rsid w:val="00836B63"/>
    <w:rsid w:val="00837562"/>
    <w:rsid w:val="008376B0"/>
    <w:rsid w:val="0083781E"/>
    <w:rsid w:val="00837A5C"/>
    <w:rsid w:val="00837AED"/>
    <w:rsid w:val="00837B7A"/>
    <w:rsid w:val="0084064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5C30"/>
    <w:rsid w:val="00845DE1"/>
    <w:rsid w:val="00845E9F"/>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502"/>
    <w:rsid w:val="008519BF"/>
    <w:rsid w:val="00852040"/>
    <w:rsid w:val="008521FD"/>
    <w:rsid w:val="00852456"/>
    <w:rsid w:val="00852498"/>
    <w:rsid w:val="008525A2"/>
    <w:rsid w:val="008527DB"/>
    <w:rsid w:val="00852AE5"/>
    <w:rsid w:val="00852B5A"/>
    <w:rsid w:val="00852CEF"/>
    <w:rsid w:val="0085357B"/>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3D9"/>
    <w:rsid w:val="00866A3F"/>
    <w:rsid w:val="00866D45"/>
    <w:rsid w:val="00867318"/>
    <w:rsid w:val="0086758B"/>
    <w:rsid w:val="0086798E"/>
    <w:rsid w:val="00867DE2"/>
    <w:rsid w:val="00870831"/>
    <w:rsid w:val="00870949"/>
    <w:rsid w:val="00870957"/>
    <w:rsid w:val="008709C1"/>
    <w:rsid w:val="00870B54"/>
    <w:rsid w:val="00870EEA"/>
    <w:rsid w:val="008717C6"/>
    <w:rsid w:val="00871D1B"/>
    <w:rsid w:val="00872121"/>
    <w:rsid w:val="00872557"/>
    <w:rsid w:val="00872896"/>
    <w:rsid w:val="00872ACC"/>
    <w:rsid w:val="00872C20"/>
    <w:rsid w:val="00872E29"/>
    <w:rsid w:val="00872EB8"/>
    <w:rsid w:val="0087303D"/>
    <w:rsid w:val="008734F8"/>
    <w:rsid w:val="0087355C"/>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3A4"/>
    <w:rsid w:val="008763B7"/>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88B"/>
    <w:rsid w:val="0088198E"/>
    <w:rsid w:val="00881BB1"/>
    <w:rsid w:val="0088204A"/>
    <w:rsid w:val="00882370"/>
    <w:rsid w:val="00882660"/>
    <w:rsid w:val="008826F3"/>
    <w:rsid w:val="00882891"/>
    <w:rsid w:val="008829E5"/>
    <w:rsid w:val="008829F4"/>
    <w:rsid w:val="00882E99"/>
    <w:rsid w:val="00882FAB"/>
    <w:rsid w:val="0088331B"/>
    <w:rsid w:val="0088333E"/>
    <w:rsid w:val="00883340"/>
    <w:rsid w:val="0088349E"/>
    <w:rsid w:val="00883640"/>
    <w:rsid w:val="00883C1F"/>
    <w:rsid w:val="008843D1"/>
    <w:rsid w:val="008845F9"/>
    <w:rsid w:val="008846D3"/>
    <w:rsid w:val="008847DE"/>
    <w:rsid w:val="008848C1"/>
    <w:rsid w:val="00884E29"/>
    <w:rsid w:val="00884FEF"/>
    <w:rsid w:val="00885291"/>
    <w:rsid w:val="0088552D"/>
    <w:rsid w:val="00885D57"/>
    <w:rsid w:val="00885FF2"/>
    <w:rsid w:val="008869B0"/>
    <w:rsid w:val="00886B92"/>
    <w:rsid w:val="00886CBB"/>
    <w:rsid w:val="00886EA9"/>
    <w:rsid w:val="00887061"/>
    <w:rsid w:val="008874C2"/>
    <w:rsid w:val="00887621"/>
    <w:rsid w:val="008877DA"/>
    <w:rsid w:val="008879A4"/>
    <w:rsid w:val="008879B7"/>
    <w:rsid w:val="00887CFE"/>
    <w:rsid w:val="00887F7B"/>
    <w:rsid w:val="0089011E"/>
    <w:rsid w:val="008903FE"/>
    <w:rsid w:val="00890610"/>
    <w:rsid w:val="00890771"/>
    <w:rsid w:val="00890A6B"/>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204"/>
    <w:rsid w:val="0089463A"/>
    <w:rsid w:val="00894B2E"/>
    <w:rsid w:val="00894C36"/>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4744"/>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1E4F"/>
    <w:rsid w:val="008B1FF7"/>
    <w:rsid w:val="008B2084"/>
    <w:rsid w:val="008B21EA"/>
    <w:rsid w:val="008B2418"/>
    <w:rsid w:val="008B276D"/>
    <w:rsid w:val="008B29B3"/>
    <w:rsid w:val="008B2E8D"/>
    <w:rsid w:val="008B3142"/>
    <w:rsid w:val="008B3145"/>
    <w:rsid w:val="008B3895"/>
    <w:rsid w:val="008B3CC2"/>
    <w:rsid w:val="008B3E9E"/>
    <w:rsid w:val="008B4099"/>
    <w:rsid w:val="008B467D"/>
    <w:rsid w:val="008B4A11"/>
    <w:rsid w:val="008B4CEC"/>
    <w:rsid w:val="008B4D35"/>
    <w:rsid w:val="008B4D91"/>
    <w:rsid w:val="008B5312"/>
    <w:rsid w:val="008B54A9"/>
    <w:rsid w:val="008B564C"/>
    <w:rsid w:val="008B5976"/>
    <w:rsid w:val="008B5A72"/>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6AE9"/>
    <w:rsid w:val="008C719B"/>
    <w:rsid w:val="008C728D"/>
    <w:rsid w:val="008C7982"/>
    <w:rsid w:val="008C79E2"/>
    <w:rsid w:val="008C7F4D"/>
    <w:rsid w:val="008D02D2"/>
    <w:rsid w:val="008D0356"/>
    <w:rsid w:val="008D0AD7"/>
    <w:rsid w:val="008D0E93"/>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0F"/>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A97"/>
    <w:rsid w:val="008D6F31"/>
    <w:rsid w:val="008D702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DA"/>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38A"/>
    <w:rsid w:val="008E545C"/>
    <w:rsid w:val="008E57EC"/>
    <w:rsid w:val="008E5CE7"/>
    <w:rsid w:val="008E65DF"/>
    <w:rsid w:val="008E660E"/>
    <w:rsid w:val="008E6842"/>
    <w:rsid w:val="008E6EBD"/>
    <w:rsid w:val="008E7016"/>
    <w:rsid w:val="008E7358"/>
    <w:rsid w:val="008E73C7"/>
    <w:rsid w:val="008E7575"/>
    <w:rsid w:val="008E7AD1"/>
    <w:rsid w:val="008E7ECF"/>
    <w:rsid w:val="008F03A9"/>
    <w:rsid w:val="008F068D"/>
    <w:rsid w:val="008F0917"/>
    <w:rsid w:val="008F0AAE"/>
    <w:rsid w:val="008F0B57"/>
    <w:rsid w:val="008F0C47"/>
    <w:rsid w:val="008F0F5B"/>
    <w:rsid w:val="008F1434"/>
    <w:rsid w:val="008F1793"/>
    <w:rsid w:val="008F1C1A"/>
    <w:rsid w:val="008F1CE0"/>
    <w:rsid w:val="008F1D64"/>
    <w:rsid w:val="008F2186"/>
    <w:rsid w:val="008F2337"/>
    <w:rsid w:val="008F24A4"/>
    <w:rsid w:val="008F24A6"/>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B18"/>
    <w:rsid w:val="008F4C01"/>
    <w:rsid w:val="008F4CC8"/>
    <w:rsid w:val="008F4D58"/>
    <w:rsid w:val="008F527F"/>
    <w:rsid w:val="008F52F3"/>
    <w:rsid w:val="008F554F"/>
    <w:rsid w:val="008F55D7"/>
    <w:rsid w:val="008F5645"/>
    <w:rsid w:val="008F5788"/>
    <w:rsid w:val="008F586C"/>
    <w:rsid w:val="008F5C1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B1D"/>
    <w:rsid w:val="00902D5B"/>
    <w:rsid w:val="00902F7A"/>
    <w:rsid w:val="00902FEC"/>
    <w:rsid w:val="0090312B"/>
    <w:rsid w:val="00903146"/>
    <w:rsid w:val="009034C0"/>
    <w:rsid w:val="009036B4"/>
    <w:rsid w:val="00903B4B"/>
    <w:rsid w:val="00903DF2"/>
    <w:rsid w:val="00904135"/>
    <w:rsid w:val="00904762"/>
    <w:rsid w:val="00904A49"/>
    <w:rsid w:val="00904C5B"/>
    <w:rsid w:val="0090534D"/>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5FF"/>
    <w:rsid w:val="009109DB"/>
    <w:rsid w:val="00910AD5"/>
    <w:rsid w:val="00910B16"/>
    <w:rsid w:val="00910FB1"/>
    <w:rsid w:val="0091111C"/>
    <w:rsid w:val="00911211"/>
    <w:rsid w:val="0091129B"/>
    <w:rsid w:val="009116F0"/>
    <w:rsid w:val="00911759"/>
    <w:rsid w:val="009118BC"/>
    <w:rsid w:val="009119AA"/>
    <w:rsid w:val="00911F1D"/>
    <w:rsid w:val="00912058"/>
    <w:rsid w:val="00912430"/>
    <w:rsid w:val="0091267D"/>
    <w:rsid w:val="009128EB"/>
    <w:rsid w:val="0091328B"/>
    <w:rsid w:val="00914288"/>
    <w:rsid w:val="00914A2A"/>
    <w:rsid w:val="00914D0C"/>
    <w:rsid w:val="00914E03"/>
    <w:rsid w:val="00914FEC"/>
    <w:rsid w:val="0091503D"/>
    <w:rsid w:val="009157B5"/>
    <w:rsid w:val="00915B95"/>
    <w:rsid w:val="00915C71"/>
    <w:rsid w:val="00915DB8"/>
    <w:rsid w:val="00915E39"/>
    <w:rsid w:val="009164CE"/>
    <w:rsid w:val="009164DC"/>
    <w:rsid w:val="009164E4"/>
    <w:rsid w:val="009168BE"/>
    <w:rsid w:val="0091693F"/>
    <w:rsid w:val="00916DA0"/>
    <w:rsid w:val="00916E0C"/>
    <w:rsid w:val="00917074"/>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419"/>
    <w:rsid w:val="0092279E"/>
    <w:rsid w:val="0092295D"/>
    <w:rsid w:val="00922D29"/>
    <w:rsid w:val="00923061"/>
    <w:rsid w:val="009230F2"/>
    <w:rsid w:val="009231D7"/>
    <w:rsid w:val="00923227"/>
    <w:rsid w:val="0092340E"/>
    <w:rsid w:val="0092362D"/>
    <w:rsid w:val="00923A27"/>
    <w:rsid w:val="00923BA0"/>
    <w:rsid w:val="00923EBB"/>
    <w:rsid w:val="00923F0A"/>
    <w:rsid w:val="009240A9"/>
    <w:rsid w:val="00924104"/>
    <w:rsid w:val="00924168"/>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C9A"/>
    <w:rsid w:val="00926D60"/>
    <w:rsid w:val="00926DEE"/>
    <w:rsid w:val="00926F4E"/>
    <w:rsid w:val="00926FBB"/>
    <w:rsid w:val="009273FA"/>
    <w:rsid w:val="009275B9"/>
    <w:rsid w:val="009275E2"/>
    <w:rsid w:val="0092777E"/>
    <w:rsid w:val="0092789F"/>
    <w:rsid w:val="00927957"/>
    <w:rsid w:val="009279DD"/>
    <w:rsid w:val="00927A3B"/>
    <w:rsid w:val="00930228"/>
    <w:rsid w:val="00930C19"/>
    <w:rsid w:val="00930C5F"/>
    <w:rsid w:val="00930C93"/>
    <w:rsid w:val="00931449"/>
    <w:rsid w:val="009318FE"/>
    <w:rsid w:val="00931AFD"/>
    <w:rsid w:val="00931D9C"/>
    <w:rsid w:val="009320D7"/>
    <w:rsid w:val="00932143"/>
    <w:rsid w:val="009324CE"/>
    <w:rsid w:val="0093256D"/>
    <w:rsid w:val="009327C1"/>
    <w:rsid w:val="00932A90"/>
    <w:rsid w:val="00932B9B"/>
    <w:rsid w:val="00932DA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618"/>
    <w:rsid w:val="00940D94"/>
    <w:rsid w:val="00941391"/>
    <w:rsid w:val="00941608"/>
    <w:rsid w:val="00941660"/>
    <w:rsid w:val="00941696"/>
    <w:rsid w:val="00941DD5"/>
    <w:rsid w:val="00941E5A"/>
    <w:rsid w:val="00942257"/>
    <w:rsid w:val="009425FE"/>
    <w:rsid w:val="00942953"/>
    <w:rsid w:val="00942A33"/>
    <w:rsid w:val="00942C6C"/>
    <w:rsid w:val="009433AC"/>
    <w:rsid w:val="00943820"/>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A01"/>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1D62"/>
    <w:rsid w:val="00951FD7"/>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727"/>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A93"/>
    <w:rsid w:val="00960C9E"/>
    <w:rsid w:val="00960F00"/>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5F7"/>
    <w:rsid w:val="0096690E"/>
    <w:rsid w:val="00966A7E"/>
    <w:rsid w:val="00966DDA"/>
    <w:rsid w:val="00967539"/>
    <w:rsid w:val="009678DA"/>
    <w:rsid w:val="009679AD"/>
    <w:rsid w:val="00967C52"/>
    <w:rsid w:val="00967D38"/>
    <w:rsid w:val="00970907"/>
    <w:rsid w:val="00970E2C"/>
    <w:rsid w:val="00970FEC"/>
    <w:rsid w:val="0097101A"/>
    <w:rsid w:val="0097142E"/>
    <w:rsid w:val="009714B9"/>
    <w:rsid w:val="00971751"/>
    <w:rsid w:val="009718B7"/>
    <w:rsid w:val="00971A80"/>
    <w:rsid w:val="00971E59"/>
    <w:rsid w:val="00971F1E"/>
    <w:rsid w:val="0097211F"/>
    <w:rsid w:val="009724A5"/>
    <w:rsid w:val="0097256F"/>
    <w:rsid w:val="00972795"/>
    <w:rsid w:val="009727E8"/>
    <w:rsid w:val="00972A65"/>
    <w:rsid w:val="00972E81"/>
    <w:rsid w:val="00972E82"/>
    <w:rsid w:val="00972F0E"/>
    <w:rsid w:val="00972F13"/>
    <w:rsid w:val="009731AD"/>
    <w:rsid w:val="0097375C"/>
    <w:rsid w:val="009737E0"/>
    <w:rsid w:val="00973BD3"/>
    <w:rsid w:val="009741C3"/>
    <w:rsid w:val="00974310"/>
    <w:rsid w:val="009744CC"/>
    <w:rsid w:val="009745B1"/>
    <w:rsid w:val="00974BA7"/>
    <w:rsid w:val="00974C33"/>
    <w:rsid w:val="009756A5"/>
    <w:rsid w:val="00975DFE"/>
    <w:rsid w:val="00975FD3"/>
    <w:rsid w:val="0097605B"/>
    <w:rsid w:val="0097607F"/>
    <w:rsid w:val="009766BB"/>
    <w:rsid w:val="009766DB"/>
    <w:rsid w:val="00976757"/>
    <w:rsid w:val="00976B19"/>
    <w:rsid w:val="009773F4"/>
    <w:rsid w:val="0097742B"/>
    <w:rsid w:val="0098109F"/>
    <w:rsid w:val="009815A0"/>
    <w:rsid w:val="00981698"/>
    <w:rsid w:val="00981AA0"/>
    <w:rsid w:val="00981C03"/>
    <w:rsid w:val="00981C66"/>
    <w:rsid w:val="00981FCA"/>
    <w:rsid w:val="009820EF"/>
    <w:rsid w:val="0098226E"/>
    <w:rsid w:val="00982C2E"/>
    <w:rsid w:val="0098347A"/>
    <w:rsid w:val="0098351D"/>
    <w:rsid w:val="0098357D"/>
    <w:rsid w:val="0098364C"/>
    <w:rsid w:val="00984142"/>
    <w:rsid w:val="00984759"/>
    <w:rsid w:val="00984A13"/>
    <w:rsid w:val="00984A87"/>
    <w:rsid w:val="00984AA4"/>
    <w:rsid w:val="00984FA9"/>
    <w:rsid w:val="00985556"/>
    <w:rsid w:val="0098557A"/>
    <w:rsid w:val="0098565C"/>
    <w:rsid w:val="0098591D"/>
    <w:rsid w:val="00985B37"/>
    <w:rsid w:val="00985DAB"/>
    <w:rsid w:val="00986460"/>
    <w:rsid w:val="009864F9"/>
    <w:rsid w:val="009865DF"/>
    <w:rsid w:val="00986754"/>
    <w:rsid w:val="0098680B"/>
    <w:rsid w:val="00986896"/>
    <w:rsid w:val="00986E02"/>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2EE"/>
    <w:rsid w:val="00992326"/>
    <w:rsid w:val="009926AE"/>
    <w:rsid w:val="00992998"/>
    <w:rsid w:val="00993377"/>
    <w:rsid w:val="009933F1"/>
    <w:rsid w:val="009939E6"/>
    <w:rsid w:val="00993ABF"/>
    <w:rsid w:val="00993EA7"/>
    <w:rsid w:val="0099424A"/>
    <w:rsid w:val="009943F6"/>
    <w:rsid w:val="009943FA"/>
    <w:rsid w:val="00994455"/>
    <w:rsid w:val="0099467A"/>
    <w:rsid w:val="00994C70"/>
    <w:rsid w:val="00994D2E"/>
    <w:rsid w:val="009950B5"/>
    <w:rsid w:val="0099515A"/>
    <w:rsid w:val="009952B5"/>
    <w:rsid w:val="00995656"/>
    <w:rsid w:val="0099589D"/>
    <w:rsid w:val="00995A57"/>
    <w:rsid w:val="009963EC"/>
    <w:rsid w:val="00996A62"/>
    <w:rsid w:val="00996FED"/>
    <w:rsid w:val="00997005"/>
    <w:rsid w:val="009970A2"/>
    <w:rsid w:val="009A005B"/>
    <w:rsid w:val="009A0411"/>
    <w:rsid w:val="009A0462"/>
    <w:rsid w:val="009A0521"/>
    <w:rsid w:val="009A1265"/>
    <w:rsid w:val="009A14B6"/>
    <w:rsid w:val="009A1E8E"/>
    <w:rsid w:val="009A227E"/>
    <w:rsid w:val="009A22F2"/>
    <w:rsid w:val="009A2735"/>
    <w:rsid w:val="009A27A2"/>
    <w:rsid w:val="009A27D2"/>
    <w:rsid w:val="009A2938"/>
    <w:rsid w:val="009A30E1"/>
    <w:rsid w:val="009A3162"/>
    <w:rsid w:val="009A3466"/>
    <w:rsid w:val="009A37DE"/>
    <w:rsid w:val="009A38D8"/>
    <w:rsid w:val="009A38FF"/>
    <w:rsid w:val="009A3A04"/>
    <w:rsid w:val="009A3D24"/>
    <w:rsid w:val="009A450F"/>
    <w:rsid w:val="009A469B"/>
    <w:rsid w:val="009A46D1"/>
    <w:rsid w:val="009A47E5"/>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B46"/>
    <w:rsid w:val="009B4C48"/>
    <w:rsid w:val="009B4E7A"/>
    <w:rsid w:val="009B4EF2"/>
    <w:rsid w:val="009B51D0"/>
    <w:rsid w:val="009B5C34"/>
    <w:rsid w:val="009B6176"/>
    <w:rsid w:val="009B64FF"/>
    <w:rsid w:val="009B65AA"/>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F1A"/>
    <w:rsid w:val="009C360F"/>
    <w:rsid w:val="009C39C6"/>
    <w:rsid w:val="009C449E"/>
    <w:rsid w:val="009C4971"/>
    <w:rsid w:val="009C4B50"/>
    <w:rsid w:val="009C4C6D"/>
    <w:rsid w:val="009C4D42"/>
    <w:rsid w:val="009C4F27"/>
    <w:rsid w:val="009C5258"/>
    <w:rsid w:val="009C5266"/>
    <w:rsid w:val="009C5478"/>
    <w:rsid w:val="009C5779"/>
    <w:rsid w:val="009C57CC"/>
    <w:rsid w:val="009C5850"/>
    <w:rsid w:val="009C58F4"/>
    <w:rsid w:val="009C59B5"/>
    <w:rsid w:val="009C62E8"/>
    <w:rsid w:val="009C6784"/>
    <w:rsid w:val="009C6857"/>
    <w:rsid w:val="009C6960"/>
    <w:rsid w:val="009C6D2A"/>
    <w:rsid w:val="009C6E45"/>
    <w:rsid w:val="009C7290"/>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9C9"/>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39F2"/>
    <w:rsid w:val="009E414B"/>
    <w:rsid w:val="009E41E5"/>
    <w:rsid w:val="009E4823"/>
    <w:rsid w:val="009E494E"/>
    <w:rsid w:val="009E5098"/>
    <w:rsid w:val="009E5375"/>
    <w:rsid w:val="009E5780"/>
    <w:rsid w:val="009E5C98"/>
    <w:rsid w:val="009E5F3B"/>
    <w:rsid w:val="009E6CD4"/>
    <w:rsid w:val="009E6E6C"/>
    <w:rsid w:val="009E6E7D"/>
    <w:rsid w:val="009E7409"/>
    <w:rsid w:val="009E74D6"/>
    <w:rsid w:val="009E75C1"/>
    <w:rsid w:val="009E7760"/>
    <w:rsid w:val="009E7A71"/>
    <w:rsid w:val="009E7C28"/>
    <w:rsid w:val="009E7E14"/>
    <w:rsid w:val="009F06D5"/>
    <w:rsid w:val="009F0894"/>
    <w:rsid w:val="009F09C5"/>
    <w:rsid w:val="009F0C6A"/>
    <w:rsid w:val="009F1080"/>
    <w:rsid w:val="009F1363"/>
    <w:rsid w:val="009F1391"/>
    <w:rsid w:val="009F1565"/>
    <w:rsid w:val="009F1711"/>
    <w:rsid w:val="009F1B4B"/>
    <w:rsid w:val="009F1FEB"/>
    <w:rsid w:val="009F22AE"/>
    <w:rsid w:val="009F241C"/>
    <w:rsid w:val="009F2F04"/>
    <w:rsid w:val="009F2F08"/>
    <w:rsid w:val="009F2F2A"/>
    <w:rsid w:val="009F2F83"/>
    <w:rsid w:val="009F32E3"/>
    <w:rsid w:val="009F339C"/>
    <w:rsid w:val="009F39C7"/>
    <w:rsid w:val="009F3C03"/>
    <w:rsid w:val="009F3D0C"/>
    <w:rsid w:val="009F3D2E"/>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F9C"/>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1FC5"/>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9B4"/>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6A"/>
    <w:rsid w:val="00A13871"/>
    <w:rsid w:val="00A138DF"/>
    <w:rsid w:val="00A13A10"/>
    <w:rsid w:val="00A13BC5"/>
    <w:rsid w:val="00A147BA"/>
    <w:rsid w:val="00A1486A"/>
    <w:rsid w:val="00A148AE"/>
    <w:rsid w:val="00A14D6C"/>
    <w:rsid w:val="00A14FA0"/>
    <w:rsid w:val="00A15719"/>
    <w:rsid w:val="00A15942"/>
    <w:rsid w:val="00A16186"/>
    <w:rsid w:val="00A16C62"/>
    <w:rsid w:val="00A16E22"/>
    <w:rsid w:val="00A16F85"/>
    <w:rsid w:val="00A17046"/>
    <w:rsid w:val="00A177AE"/>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382"/>
    <w:rsid w:val="00A22B97"/>
    <w:rsid w:val="00A22BB0"/>
    <w:rsid w:val="00A22C0A"/>
    <w:rsid w:val="00A22FBA"/>
    <w:rsid w:val="00A2340F"/>
    <w:rsid w:val="00A23AD1"/>
    <w:rsid w:val="00A240E9"/>
    <w:rsid w:val="00A24484"/>
    <w:rsid w:val="00A24971"/>
    <w:rsid w:val="00A24B4F"/>
    <w:rsid w:val="00A25281"/>
    <w:rsid w:val="00A259FF"/>
    <w:rsid w:val="00A25A35"/>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179"/>
    <w:rsid w:val="00A31372"/>
    <w:rsid w:val="00A31376"/>
    <w:rsid w:val="00A31843"/>
    <w:rsid w:val="00A31CEF"/>
    <w:rsid w:val="00A31F21"/>
    <w:rsid w:val="00A320A9"/>
    <w:rsid w:val="00A322C5"/>
    <w:rsid w:val="00A322E9"/>
    <w:rsid w:val="00A32676"/>
    <w:rsid w:val="00A32695"/>
    <w:rsid w:val="00A32715"/>
    <w:rsid w:val="00A328E8"/>
    <w:rsid w:val="00A32988"/>
    <w:rsid w:val="00A32AE5"/>
    <w:rsid w:val="00A32E91"/>
    <w:rsid w:val="00A33218"/>
    <w:rsid w:val="00A33709"/>
    <w:rsid w:val="00A33775"/>
    <w:rsid w:val="00A3386E"/>
    <w:rsid w:val="00A33892"/>
    <w:rsid w:val="00A338ED"/>
    <w:rsid w:val="00A33918"/>
    <w:rsid w:val="00A339C1"/>
    <w:rsid w:val="00A340B0"/>
    <w:rsid w:val="00A34659"/>
    <w:rsid w:val="00A347E4"/>
    <w:rsid w:val="00A34873"/>
    <w:rsid w:val="00A34C95"/>
    <w:rsid w:val="00A34E62"/>
    <w:rsid w:val="00A353F1"/>
    <w:rsid w:val="00A355A1"/>
    <w:rsid w:val="00A358A3"/>
    <w:rsid w:val="00A35D25"/>
    <w:rsid w:val="00A35F4D"/>
    <w:rsid w:val="00A3619C"/>
    <w:rsid w:val="00A36C07"/>
    <w:rsid w:val="00A36E53"/>
    <w:rsid w:val="00A36F76"/>
    <w:rsid w:val="00A3730B"/>
    <w:rsid w:val="00A37370"/>
    <w:rsid w:val="00A37787"/>
    <w:rsid w:val="00A37B1F"/>
    <w:rsid w:val="00A37BEF"/>
    <w:rsid w:val="00A37D32"/>
    <w:rsid w:val="00A37E3B"/>
    <w:rsid w:val="00A37F10"/>
    <w:rsid w:val="00A403F4"/>
    <w:rsid w:val="00A407C3"/>
    <w:rsid w:val="00A40A9A"/>
    <w:rsid w:val="00A40C69"/>
    <w:rsid w:val="00A40E37"/>
    <w:rsid w:val="00A411FE"/>
    <w:rsid w:val="00A4161C"/>
    <w:rsid w:val="00A41900"/>
    <w:rsid w:val="00A419B7"/>
    <w:rsid w:val="00A419BA"/>
    <w:rsid w:val="00A41CF1"/>
    <w:rsid w:val="00A4216F"/>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77E"/>
    <w:rsid w:val="00A459E9"/>
    <w:rsid w:val="00A45E85"/>
    <w:rsid w:val="00A46351"/>
    <w:rsid w:val="00A46EA1"/>
    <w:rsid w:val="00A471E6"/>
    <w:rsid w:val="00A4744B"/>
    <w:rsid w:val="00A474A1"/>
    <w:rsid w:val="00A4783F"/>
    <w:rsid w:val="00A47AE9"/>
    <w:rsid w:val="00A47B8C"/>
    <w:rsid w:val="00A5034D"/>
    <w:rsid w:val="00A50511"/>
    <w:rsid w:val="00A512DF"/>
    <w:rsid w:val="00A5138A"/>
    <w:rsid w:val="00A51770"/>
    <w:rsid w:val="00A517A4"/>
    <w:rsid w:val="00A51BC7"/>
    <w:rsid w:val="00A51BE6"/>
    <w:rsid w:val="00A51D74"/>
    <w:rsid w:val="00A51E67"/>
    <w:rsid w:val="00A5252A"/>
    <w:rsid w:val="00A527B1"/>
    <w:rsid w:val="00A533D1"/>
    <w:rsid w:val="00A535EE"/>
    <w:rsid w:val="00A538A3"/>
    <w:rsid w:val="00A53A90"/>
    <w:rsid w:val="00A54213"/>
    <w:rsid w:val="00A54ADF"/>
    <w:rsid w:val="00A54BF9"/>
    <w:rsid w:val="00A54E09"/>
    <w:rsid w:val="00A55142"/>
    <w:rsid w:val="00A55C9D"/>
    <w:rsid w:val="00A55F6D"/>
    <w:rsid w:val="00A5684A"/>
    <w:rsid w:val="00A5687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38B"/>
    <w:rsid w:val="00A655B3"/>
    <w:rsid w:val="00A6564F"/>
    <w:rsid w:val="00A658A0"/>
    <w:rsid w:val="00A659A1"/>
    <w:rsid w:val="00A65C17"/>
    <w:rsid w:val="00A6619C"/>
    <w:rsid w:val="00A668D9"/>
    <w:rsid w:val="00A66E02"/>
    <w:rsid w:val="00A66F9A"/>
    <w:rsid w:val="00A67244"/>
    <w:rsid w:val="00A674E4"/>
    <w:rsid w:val="00A675A7"/>
    <w:rsid w:val="00A67E5A"/>
    <w:rsid w:val="00A7064B"/>
    <w:rsid w:val="00A70969"/>
    <w:rsid w:val="00A70A80"/>
    <w:rsid w:val="00A70FB2"/>
    <w:rsid w:val="00A713DF"/>
    <w:rsid w:val="00A71627"/>
    <w:rsid w:val="00A71B0E"/>
    <w:rsid w:val="00A727F5"/>
    <w:rsid w:val="00A72FE7"/>
    <w:rsid w:val="00A73035"/>
    <w:rsid w:val="00A73C0E"/>
    <w:rsid w:val="00A73D16"/>
    <w:rsid w:val="00A73E94"/>
    <w:rsid w:val="00A73F7C"/>
    <w:rsid w:val="00A73F86"/>
    <w:rsid w:val="00A7466F"/>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1E"/>
    <w:rsid w:val="00A77121"/>
    <w:rsid w:val="00A771C9"/>
    <w:rsid w:val="00A7726B"/>
    <w:rsid w:val="00A7753C"/>
    <w:rsid w:val="00A77699"/>
    <w:rsid w:val="00A77CB3"/>
    <w:rsid w:val="00A77F95"/>
    <w:rsid w:val="00A80740"/>
    <w:rsid w:val="00A8078B"/>
    <w:rsid w:val="00A80790"/>
    <w:rsid w:val="00A8092D"/>
    <w:rsid w:val="00A80E20"/>
    <w:rsid w:val="00A80F29"/>
    <w:rsid w:val="00A818DC"/>
    <w:rsid w:val="00A818EC"/>
    <w:rsid w:val="00A81ECC"/>
    <w:rsid w:val="00A821B3"/>
    <w:rsid w:val="00A82520"/>
    <w:rsid w:val="00A82C41"/>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87DF6"/>
    <w:rsid w:val="00A90186"/>
    <w:rsid w:val="00A902A9"/>
    <w:rsid w:val="00A9067D"/>
    <w:rsid w:val="00A914AA"/>
    <w:rsid w:val="00A91E9F"/>
    <w:rsid w:val="00A9241B"/>
    <w:rsid w:val="00A927E3"/>
    <w:rsid w:val="00A931D4"/>
    <w:rsid w:val="00A9336F"/>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A07"/>
    <w:rsid w:val="00AA0AA5"/>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8CE"/>
    <w:rsid w:val="00AB3DB5"/>
    <w:rsid w:val="00AB44AA"/>
    <w:rsid w:val="00AB46E2"/>
    <w:rsid w:val="00AB4706"/>
    <w:rsid w:val="00AB4716"/>
    <w:rsid w:val="00AB49E3"/>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0B4"/>
    <w:rsid w:val="00AC023F"/>
    <w:rsid w:val="00AC04D8"/>
    <w:rsid w:val="00AC090C"/>
    <w:rsid w:val="00AC10F4"/>
    <w:rsid w:val="00AC15D6"/>
    <w:rsid w:val="00AC1777"/>
    <w:rsid w:val="00AC18CF"/>
    <w:rsid w:val="00AC1E29"/>
    <w:rsid w:val="00AC207D"/>
    <w:rsid w:val="00AC238C"/>
    <w:rsid w:val="00AC239E"/>
    <w:rsid w:val="00AC2C16"/>
    <w:rsid w:val="00AC2D34"/>
    <w:rsid w:val="00AC3675"/>
    <w:rsid w:val="00AC3E0B"/>
    <w:rsid w:val="00AC3FCD"/>
    <w:rsid w:val="00AC427A"/>
    <w:rsid w:val="00AC49F2"/>
    <w:rsid w:val="00AC4AA9"/>
    <w:rsid w:val="00AC512F"/>
    <w:rsid w:val="00AC58EC"/>
    <w:rsid w:val="00AC5922"/>
    <w:rsid w:val="00AC5C3A"/>
    <w:rsid w:val="00AC60F3"/>
    <w:rsid w:val="00AC61F7"/>
    <w:rsid w:val="00AC68FD"/>
    <w:rsid w:val="00AC6BD9"/>
    <w:rsid w:val="00AC6C33"/>
    <w:rsid w:val="00AC6EEE"/>
    <w:rsid w:val="00AC7125"/>
    <w:rsid w:val="00AC726B"/>
    <w:rsid w:val="00AC7280"/>
    <w:rsid w:val="00AC7566"/>
    <w:rsid w:val="00AC76FE"/>
    <w:rsid w:val="00AC79C4"/>
    <w:rsid w:val="00AC7AEB"/>
    <w:rsid w:val="00AC7BF1"/>
    <w:rsid w:val="00AD07E8"/>
    <w:rsid w:val="00AD1486"/>
    <w:rsid w:val="00AD162C"/>
    <w:rsid w:val="00AD1894"/>
    <w:rsid w:val="00AD19DB"/>
    <w:rsid w:val="00AD1C0B"/>
    <w:rsid w:val="00AD1C56"/>
    <w:rsid w:val="00AD1C62"/>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527"/>
    <w:rsid w:val="00AD7808"/>
    <w:rsid w:val="00AE0042"/>
    <w:rsid w:val="00AE07E8"/>
    <w:rsid w:val="00AE08F8"/>
    <w:rsid w:val="00AE0A5B"/>
    <w:rsid w:val="00AE1335"/>
    <w:rsid w:val="00AE1722"/>
    <w:rsid w:val="00AE178C"/>
    <w:rsid w:val="00AE179F"/>
    <w:rsid w:val="00AE188B"/>
    <w:rsid w:val="00AE18CF"/>
    <w:rsid w:val="00AE1F33"/>
    <w:rsid w:val="00AE2BAD"/>
    <w:rsid w:val="00AE2E62"/>
    <w:rsid w:val="00AE316E"/>
    <w:rsid w:val="00AE318B"/>
    <w:rsid w:val="00AE3313"/>
    <w:rsid w:val="00AE347F"/>
    <w:rsid w:val="00AE3667"/>
    <w:rsid w:val="00AE3911"/>
    <w:rsid w:val="00AE3BB5"/>
    <w:rsid w:val="00AE3E84"/>
    <w:rsid w:val="00AE42C4"/>
    <w:rsid w:val="00AE48DA"/>
    <w:rsid w:val="00AE4C62"/>
    <w:rsid w:val="00AE4CDC"/>
    <w:rsid w:val="00AE4DCF"/>
    <w:rsid w:val="00AE528C"/>
    <w:rsid w:val="00AE578B"/>
    <w:rsid w:val="00AE5811"/>
    <w:rsid w:val="00AE5CF1"/>
    <w:rsid w:val="00AE6B14"/>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B07"/>
    <w:rsid w:val="00AF4F2A"/>
    <w:rsid w:val="00AF5395"/>
    <w:rsid w:val="00AF562B"/>
    <w:rsid w:val="00AF5672"/>
    <w:rsid w:val="00AF5A06"/>
    <w:rsid w:val="00AF5B2B"/>
    <w:rsid w:val="00AF6161"/>
    <w:rsid w:val="00AF6383"/>
    <w:rsid w:val="00AF6664"/>
    <w:rsid w:val="00AF66B2"/>
    <w:rsid w:val="00AF7227"/>
    <w:rsid w:val="00AF72E0"/>
    <w:rsid w:val="00AF764A"/>
    <w:rsid w:val="00B00630"/>
    <w:rsid w:val="00B0068E"/>
    <w:rsid w:val="00B0070B"/>
    <w:rsid w:val="00B00B21"/>
    <w:rsid w:val="00B00F10"/>
    <w:rsid w:val="00B01296"/>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3E6B"/>
    <w:rsid w:val="00B03F8C"/>
    <w:rsid w:val="00B04368"/>
    <w:rsid w:val="00B048E0"/>
    <w:rsid w:val="00B04B81"/>
    <w:rsid w:val="00B05B07"/>
    <w:rsid w:val="00B05B65"/>
    <w:rsid w:val="00B05C2F"/>
    <w:rsid w:val="00B05E41"/>
    <w:rsid w:val="00B0603C"/>
    <w:rsid w:val="00B06312"/>
    <w:rsid w:val="00B065DA"/>
    <w:rsid w:val="00B067FD"/>
    <w:rsid w:val="00B07290"/>
    <w:rsid w:val="00B072CD"/>
    <w:rsid w:val="00B07537"/>
    <w:rsid w:val="00B07683"/>
    <w:rsid w:val="00B079ED"/>
    <w:rsid w:val="00B07BE3"/>
    <w:rsid w:val="00B07E52"/>
    <w:rsid w:val="00B107A0"/>
    <w:rsid w:val="00B1085B"/>
    <w:rsid w:val="00B10919"/>
    <w:rsid w:val="00B10AEB"/>
    <w:rsid w:val="00B10E20"/>
    <w:rsid w:val="00B10FDF"/>
    <w:rsid w:val="00B1100B"/>
    <w:rsid w:val="00B11177"/>
    <w:rsid w:val="00B1130F"/>
    <w:rsid w:val="00B11329"/>
    <w:rsid w:val="00B113DD"/>
    <w:rsid w:val="00B11796"/>
    <w:rsid w:val="00B11A30"/>
    <w:rsid w:val="00B11CEB"/>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7C"/>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1E72"/>
    <w:rsid w:val="00B31E73"/>
    <w:rsid w:val="00B322EE"/>
    <w:rsid w:val="00B3271D"/>
    <w:rsid w:val="00B32983"/>
    <w:rsid w:val="00B331DC"/>
    <w:rsid w:val="00B33241"/>
    <w:rsid w:val="00B341B4"/>
    <w:rsid w:val="00B34419"/>
    <w:rsid w:val="00B348DF"/>
    <w:rsid w:val="00B349D1"/>
    <w:rsid w:val="00B34A13"/>
    <w:rsid w:val="00B34C49"/>
    <w:rsid w:val="00B35081"/>
    <w:rsid w:val="00B3524F"/>
    <w:rsid w:val="00B35449"/>
    <w:rsid w:val="00B3558C"/>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6EE2"/>
    <w:rsid w:val="00B4709C"/>
    <w:rsid w:val="00B47449"/>
    <w:rsid w:val="00B4773B"/>
    <w:rsid w:val="00B477C2"/>
    <w:rsid w:val="00B47871"/>
    <w:rsid w:val="00B47A74"/>
    <w:rsid w:val="00B50071"/>
    <w:rsid w:val="00B50434"/>
    <w:rsid w:val="00B50717"/>
    <w:rsid w:val="00B509FC"/>
    <w:rsid w:val="00B50C2A"/>
    <w:rsid w:val="00B50F34"/>
    <w:rsid w:val="00B511B3"/>
    <w:rsid w:val="00B51537"/>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7F7"/>
    <w:rsid w:val="00B53957"/>
    <w:rsid w:val="00B53B23"/>
    <w:rsid w:val="00B53B40"/>
    <w:rsid w:val="00B53D15"/>
    <w:rsid w:val="00B540C8"/>
    <w:rsid w:val="00B542F4"/>
    <w:rsid w:val="00B54D6D"/>
    <w:rsid w:val="00B54F40"/>
    <w:rsid w:val="00B55164"/>
    <w:rsid w:val="00B552E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BD2"/>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6FF"/>
    <w:rsid w:val="00B6472C"/>
    <w:rsid w:val="00B64A3D"/>
    <w:rsid w:val="00B64FF4"/>
    <w:rsid w:val="00B65B43"/>
    <w:rsid w:val="00B65BA7"/>
    <w:rsid w:val="00B65CC3"/>
    <w:rsid w:val="00B65DB1"/>
    <w:rsid w:val="00B65ECF"/>
    <w:rsid w:val="00B661C2"/>
    <w:rsid w:val="00B664E3"/>
    <w:rsid w:val="00B665D0"/>
    <w:rsid w:val="00B66CC3"/>
    <w:rsid w:val="00B67094"/>
    <w:rsid w:val="00B6727F"/>
    <w:rsid w:val="00B67295"/>
    <w:rsid w:val="00B6729A"/>
    <w:rsid w:val="00B675D8"/>
    <w:rsid w:val="00B6761D"/>
    <w:rsid w:val="00B677EB"/>
    <w:rsid w:val="00B67898"/>
    <w:rsid w:val="00B67DA4"/>
    <w:rsid w:val="00B67F07"/>
    <w:rsid w:val="00B67F2B"/>
    <w:rsid w:val="00B702D0"/>
    <w:rsid w:val="00B7048D"/>
    <w:rsid w:val="00B7065E"/>
    <w:rsid w:val="00B707F8"/>
    <w:rsid w:val="00B70904"/>
    <w:rsid w:val="00B70A55"/>
    <w:rsid w:val="00B70A98"/>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77CBA"/>
    <w:rsid w:val="00B80055"/>
    <w:rsid w:val="00B800B1"/>
    <w:rsid w:val="00B80102"/>
    <w:rsid w:val="00B801D8"/>
    <w:rsid w:val="00B805F0"/>
    <w:rsid w:val="00B80660"/>
    <w:rsid w:val="00B80856"/>
    <w:rsid w:val="00B80C11"/>
    <w:rsid w:val="00B80E2A"/>
    <w:rsid w:val="00B80FBF"/>
    <w:rsid w:val="00B813F4"/>
    <w:rsid w:val="00B8163A"/>
    <w:rsid w:val="00B819EC"/>
    <w:rsid w:val="00B81A05"/>
    <w:rsid w:val="00B81AB0"/>
    <w:rsid w:val="00B81AC2"/>
    <w:rsid w:val="00B81B31"/>
    <w:rsid w:val="00B81D75"/>
    <w:rsid w:val="00B82207"/>
    <w:rsid w:val="00B8232F"/>
    <w:rsid w:val="00B8348F"/>
    <w:rsid w:val="00B83774"/>
    <w:rsid w:val="00B8396F"/>
    <w:rsid w:val="00B83992"/>
    <w:rsid w:val="00B839D0"/>
    <w:rsid w:val="00B83BB2"/>
    <w:rsid w:val="00B83D7B"/>
    <w:rsid w:val="00B83ECF"/>
    <w:rsid w:val="00B84022"/>
    <w:rsid w:val="00B84660"/>
    <w:rsid w:val="00B846E3"/>
    <w:rsid w:val="00B848F1"/>
    <w:rsid w:val="00B85368"/>
    <w:rsid w:val="00B8545A"/>
    <w:rsid w:val="00B85472"/>
    <w:rsid w:val="00B85781"/>
    <w:rsid w:val="00B85A8E"/>
    <w:rsid w:val="00B861A6"/>
    <w:rsid w:val="00B865F3"/>
    <w:rsid w:val="00B8686D"/>
    <w:rsid w:val="00B86A78"/>
    <w:rsid w:val="00B86AA7"/>
    <w:rsid w:val="00B86BA1"/>
    <w:rsid w:val="00B86D11"/>
    <w:rsid w:val="00B86DAD"/>
    <w:rsid w:val="00B86F4C"/>
    <w:rsid w:val="00B873CE"/>
    <w:rsid w:val="00B878EA"/>
    <w:rsid w:val="00B87BB8"/>
    <w:rsid w:val="00B87CFB"/>
    <w:rsid w:val="00B87FBC"/>
    <w:rsid w:val="00B900AF"/>
    <w:rsid w:val="00B90485"/>
    <w:rsid w:val="00B90621"/>
    <w:rsid w:val="00B909D4"/>
    <w:rsid w:val="00B90BCF"/>
    <w:rsid w:val="00B910D4"/>
    <w:rsid w:val="00B911E0"/>
    <w:rsid w:val="00B912B4"/>
    <w:rsid w:val="00B91396"/>
    <w:rsid w:val="00B91497"/>
    <w:rsid w:val="00B91AD0"/>
    <w:rsid w:val="00B91D60"/>
    <w:rsid w:val="00B91D7E"/>
    <w:rsid w:val="00B91F83"/>
    <w:rsid w:val="00B92AE4"/>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48F"/>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23"/>
    <w:rsid w:val="00BA3A4C"/>
    <w:rsid w:val="00BA40D4"/>
    <w:rsid w:val="00BA43A0"/>
    <w:rsid w:val="00BA4890"/>
    <w:rsid w:val="00BA49A9"/>
    <w:rsid w:val="00BA5399"/>
    <w:rsid w:val="00BA54B3"/>
    <w:rsid w:val="00BA55B3"/>
    <w:rsid w:val="00BA5623"/>
    <w:rsid w:val="00BA5824"/>
    <w:rsid w:val="00BA5C08"/>
    <w:rsid w:val="00BA5DCD"/>
    <w:rsid w:val="00BA5E6A"/>
    <w:rsid w:val="00BA5E86"/>
    <w:rsid w:val="00BA612F"/>
    <w:rsid w:val="00BA630B"/>
    <w:rsid w:val="00BA63F1"/>
    <w:rsid w:val="00BA6764"/>
    <w:rsid w:val="00BA69A2"/>
    <w:rsid w:val="00BA7235"/>
    <w:rsid w:val="00BA74E8"/>
    <w:rsid w:val="00BA78A4"/>
    <w:rsid w:val="00BA78CC"/>
    <w:rsid w:val="00BB01A6"/>
    <w:rsid w:val="00BB09A6"/>
    <w:rsid w:val="00BB0A9D"/>
    <w:rsid w:val="00BB0CEF"/>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3EB7"/>
    <w:rsid w:val="00BB429F"/>
    <w:rsid w:val="00BB45C9"/>
    <w:rsid w:val="00BB476B"/>
    <w:rsid w:val="00BB48C8"/>
    <w:rsid w:val="00BB492F"/>
    <w:rsid w:val="00BB500C"/>
    <w:rsid w:val="00BB52F1"/>
    <w:rsid w:val="00BB56DF"/>
    <w:rsid w:val="00BB57AC"/>
    <w:rsid w:val="00BB5C88"/>
    <w:rsid w:val="00BB5CB1"/>
    <w:rsid w:val="00BB5F75"/>
    <w:rsid w:val="00BB6170"/>
    <w:rsid w:val="00BB63D4"/>
    <w:rsid w:val="00BB641C"/>
    <w:rsid w:val="00BB6897"/>
    <w:rsid w:val="00BB68A1"/>
    <w:rsid w:val="00BB6C45"/>
    <w:rsid w:val="00BB6C9A"/>
    <w:rsid w:val="00BB7073"/>
    <w:rsid w:val="00BB708D"/>
    <w:rsid w:val="00BB72DF"/>
    <w:rsid w:val="00BB7A2B"/>
    <w:rsid w:val="00BB7A7F"/>
    <w:rsid w:val="00BC08CF"/>
    <w:rsid w:val="00BC0AF4"/>
    <w:rsid w:val="00BC0C4E"/>
    <w:rsid w:val="00BC13F0"/>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22"/>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DA4"/>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C1F"/>
    <w:rsid w:val="00BD2092"/>
    <w:rsid w:val="00BD2D8A"/>
    <w:rsid w:val="00BD3380"/>
    <w:rsid w:val="00BD365A"/>
    <w:rsid w:val="00BD394C"/>
    <w:rsid w:val="00BD3B84"/>
    <w:rsid w:val="00BD3BD2"/>
    <w:rsid w:val="00BD3CDB"/>
    <w:rsid w:val="00BD3CDF"/>
    <w:rsid w:val="00BD4309"/>
    <w:rsid w:val="00BD4365"/>
    <w:rsid w:val="00BD43E6"/>
    <w:rsid w:val="00BD4EDC"/>
    <w:rsid w:val="00BD4F9D"/>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1F63"/>
    <w:rsid w:val="00BE2051"/>
    <w:rsid w:val="00BE2245"/>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578"/>
    <w:rsid w:val="00BE7838"/>
    <w:rsid w:val="00BE78E1"/>
    <w:rsid w:val="00BF026B"/>
    <w:rsid w:val="00BF06ED"/>
    <w:rsid w:val="00BF0797"/>
    <w:rsid w:val="00BF0CAB"/>
    <w:rsid w:val="00BF0D36"/>
    <w:rsid w:val="00BF0F17"/>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24"/>
    <w:rsid w:val="00BF2C3D"/>
    <w:rsid w:val="00BF36F3"/>
    <w:rsid w:val="00BF3C43"/>
    <w:rsid w:val="00BF3D92"/>
    <w:rsid w:val="00BF418C"/>
    <w:rsid w:val="00BF4653"/>
    <w:rsid w:val="00BF46FF"/>
    <w:rsid w:val="00BF4744"/>
    <w:rsid w:val="00BF4879"/>
    <w:rsid w:val="00BF4995"/>
    <w:rsid w:val="00BF51EB"/>
    <w:rsid w:val="00BF5365"/>
    <w:rsid w:val="00BF56A9"/>
    <w:rsid w:val="00BF5A06"/>
    <w:rsid w:val="00BF5F0F"/>
    <w:rsid w:val="00BF62B5"/>
    <w:rsid w:val="00BF63E6"/>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78C"/>
    <w:rsid w:val="00C05C4C"/>
    <w:rsid w:val="00C0615E"/>
    <w:rsid w:val="00C06208"/>
    <w:rsid w:val="00C06872"/>
    <w:rsid w:val="00C06C6E"/>
    <w:rsid w:val="00C071AC"/>
    <w:rsid w:val="00C071FB"/>
    <w:rsid w:val="00C0743D"/>
    <w:rsid w:val="00C07583"/>
    <w:rsid w:val="00C07863"/>
    <w:rsid w:val="00C079F7"/>
    <w:rsid w:val="00C07B11"/>
    <w:rsid w:val="00C108E2"/>
    <w:rsid w:val="00C10DF9"/>
    <w:rsid w:val="00C11037"/>
    <w:rsid w:val="00C110DD"/>
    <w:rsid w:val="00C11184"/>
    <w:rsid w:val="00C11460"/>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BB1"/>
    <w:rsid w:val="00C25E79"/>
    <w:rsid w:val="00C25F74"/>
    <w:rsid w:val="00C26225"/>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591"/>
    <w:rsid w:val="00C367B1"/>
    <w:rsid w:val="00C36AF0"/>
    <w:rsid w:val="00C36FAE"/>
    <w:rsid w:val="00C370A8"/>
    <w:rsid w:val="00C373C6"/>
    <w:rsid w:val="00C37651"/>
    <w:rsid w:val="00C3772E"/>
    <w:rsid w:val="00C37AA9"/>
    <w:rsid w:val="00C37BBA"/>
    <w:rsid w:val="00C37C6E"/>
    <w:rsid w:val="00C37D33"/>
    <w:rsid w:val="00C40001"/>
    <w:rsid w:val="00C403A5"/>
    <w:rsid w:val="00C40974"/>
    <w:rsid w:val="00C40B00"/>
    <w:rsid w:val="00C40D2D"/>
    <w:rsid w:val="00C4109A"/>
    <w:rsid w:val="00C413C8"/>
    <w:rsid w:val="00C4141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405"/>
    <w:rsid w:val="00C47944"/>
    <w:rsid w:val="00C47CBE"/>
    <w:rsid w:val="00C47DED"/>
    <w:rsid w:val="00C47EE3"/>
    <w:rsid w:val="00C5000B"/>
    <w:rsid w:val="00C50152"/>
    <w:rsid w:val="00C50158"/>
    <w:rsid w:val="00C50551"/>
    <w:rsid w:val="00C50908"/>
    <w:rsid w:val="00C509FC"/>
    <w:rsid w:val="00C511E2"/>
    <w:rsid w:val="00C512BE"/>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DD1"/>
    <w:rsid w:val="00C55278"/>
    <w:rsid w:val="00C55579"/>
    <w:rsid w:val="00C55810"/>
    <w:rsid w:val="00C55939"/>
    <w:rsid w:val="00C55961"/>
    <w:rsid w:val="00C559A8"/>
    <w:rsid w:val="00C560F0"/>
    <w:rsid w:val="00C5620F"/>
    <w:rsid w:val="00C563CC"/>
    <w:rsid w:val="00C569F8"/>
    <w:rsid w:val="00C56A41"/>
    <w:rsid w:val="00C56DD0"/>
    <w:rsid w:val="00C57644"/>
    <w:rsid w:val="00C57F04"/>
    <w:rsid w:val="00C605C7"/>
    <w:rsid w:val="00C60950"/>
    <w:rsid w:val="00C60980"/>
    <w:rsid w:val="00C60AF0"/>
    <w:rsid w:val="00C60C0A"/>
    <w:rsid w:val="00C61027"/>
    <w:rsid w:val="00C613EB"/>
    <w:rsid w:val="00C61724"/>
    <w:rsid w:val="00C61DAB"/>
    <w:rsid w:val="00C61EFE"/>
    <w:rsid w:val="00C623ED"/>
    <w:rsid w:val="00C631A3"/>
    <w:rsid w:val="00C6336A"/>
    <w:rsid w:val="00C63412"/>
    <w:rsid w:val="00C63527"/>
    <w:rsid w:val="00C6355E"/>
    <w:rsid w:val="00C637B7"/>
    <w:rsid w:val="00C639F3"/>
    <w:rsid w:val="00C63E48"/>
    <w:rsid w:val="00C64055"/>
    <w:rsid w:val="00C640BF"/>
    <w:rsid w:val="00C64486"/>
    <w:rsid w:val="00C6457A"/>
    <w:rsid w:val="00C64AF5"/>
    <w:rsid w:val="00C64C16"/>
    <w:rsid w:val="00C64D33"/>
    <w:rsid w:val="00C64D4A"/>
    <w:rsid w:val="00C64E91"/>
    <w:rsid w:val="00C6515C"/>
    <w:rsid w:val="00C655D4"/>
    <w:rsid w:val="00C658D9"/>
    <w:rsid w:val="00C65A49"/>
    <w:rsid w:val="00C65B3D"/>
    <w:rsid w:val="00C65B4F"/>
    <w:rsid w:val="00C66122"/>
    <w:rsid w:val="00C66715"/>
    <w:rsid w:val="00C667BF"/>
    <w:rsid w:val="00C66B99"/>
    <w:rsid w:val="00C67394"/>
    <w:rsid w:val="00C674CD"/>
    <w:rsid w:val="00C677CE"/>
    <w:rsid w:val="00C67907"/>
    <w:rsid w:val="00C67A3F"/>
    <w:rsid w:val="00C701E4"/>
    <w:rsid w:val="00C7035F"/>
    <w:rsid w:val="00C7037A"/>
    <w:rsid w:val="00C70618"/>
    <w:rsid w:val="00C7065E"/>
    <w:rsid w:val="00C70676"/>
    <w:rsid w:val="00C70834"/>
    <w:rsid w:val="00C7089E"/>
    <w:rsid w:val="00C7116E"/>
    <w:rsid w:val="00C717BE"/>
    <w:rsid w:val="00C7183F"/>
    <w:rsid w:val="00C71AE6"/>
    <w:rsid w:val="00C721D5"/>
    <w:rsid w:val="00C7235B"/>
    <w:rsid w:val="00C7275D"/>
    <w:rsid w:val="00C727DA"/>
    <w:rsid w:val="00C72A5D"/>
    <w:rsid w:val="00C72B68"/>
    <w:rsid w:val="00C72DB9"/>
    <w:rsid w:val="00C732AC"/>
    <w:rsid w:val="00C733E7"/>
    <w:rsid w:val="00C7352D"/>
    <w:rsid w:val="00C73A78"/>
    <w:rsid w:val="00C73A82"/>
    <w:rsid w:val="00C74032"/>
    <w:rsid w:val="00C74400"/>
    <w:rsid w:val="00C74829"/>
    <w:rsid w:val="00C7489D"/>
    <w:rsid w:val="00C74A1A"/>
    <w:rsid w:val="00C74BAE"/>
    <w:rsid w:val="00C7505D"/>
    <w:rsid w:val="00C75102"/>
    <w:rsid w:val="00C75330"/>
    <w:rsid w:val="00C75728"/>
    <w:rsid w:val="00C757B2"/>
    <w:rsid w:val="00C757FB"/>
    <w:rsid w:val="00C75F57"/>
    <w:rsid w:val="00C76558"/>
    <w:rsid w:val="00C76A5F"/>
    <w:rsid w:val="00C76AD2"/>
    <w:rsid w:val="00C76D1F"/>
    <w:rsid w:val="00C76E24"/>
    <w:rsid w:val="00C76E98"/>
    <w:rsid w:val="00C76F51"/>
    <w:rsid w:val="00C77067"/>
    <w:rsid w:val="00C779EF"/>
    <w:rsid w:val="00C77AF1"/>
    <w:rsid w:val="00C77B72"/>
    <w:rsid w:val="00C80095"/>
    <w:rsid w:val="00C8012F"/>
    <w:rsid w:val="00C80D32"/>
    <w:rsid w:val="00C80D38"/>
    <w:rsid w:val="00C80F7F"/>
    <w:rsid w:val="00C8168D"/>
    <w:rsid w:val="00C8173A"/>
    <w:rsid w:val="00C81869"/>
    <w:rsid w:val="00C81E02"/>
    <w:rsid w:val="00C82150"/>
    <w:rsid w:val="00C82322"/>
    <w:rsid w:val="00C8237D"/>
    <w:rsid w:val="00C82393"/>
    <w:rsid w:val="00C827C7"/>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2DEB"/>
    <w:rsid w:val="00C9329A"/>
    <w:rsid w:val="00C93333"/>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AB"/>
    <w:rsid w:val="00C96B55"/>
    <w:rsid w:val="00C96E2F"/>
    <w:rsid w:val="00C97916"/>
    <w:rsid w:val="00C97DD2"/>
    <w:rsid w:val="00C97E02"/>
    <w:rsid w:val="00C97F26"/>
    <w:rsid w:val="00CA061D"/>
    <w:rsid w:val="00CA085C"/>
    <w:rsid w:val="00CA1B46"/>
    <w:rsid w:val="00CA1B4B"/>
    <w:rsid w:val="00CA1E01"/>
    <w:rsid w:val="00CA1F2D"/>
    <w:rsid w:val="00CA2141"/>
    <w:rsid w:val="00CA2208"/>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39F"/>
    <w:rsid w:val="00CA5655"/>
    <w:rsid w:val="00CA56A2"/>
    <w:rsid w:val="00CA5961"/>
    <w:rsid w:val="00CA5CDB"/>
    <w:rsid w:val="00CA5E6B"/>
    <w:rsid w:val="00CA5EF0"/>
    <w:rsid w:val="00CA631F"/>
    <w:rsid w:val="00CA6A2D"/>
    <w:rsid w:val="00CA713B"/>
    <w:rsid w:val="00CA7BC8"/>
    <w:rsid w:val="00CA7C11"/>
    <w:rsid w:val="00CB01B0"/>
    <w:rsid w:val="00CB0267"/>
    <w:rsid w:val="00CB026E"/>
    <w:rsid w:val="00CB0302"/>
    <w:rsid w:val="00CB0654"/>
    <w:rsid w:val="00CB07BB"/>
    <w:rsid w:val="00CB0BD8"/>
    <w:rsid w:val="00CB0D03"/>
    <w:rsid w:val="00CB0DD6"/>
    <w:rsid w:val="00CB0E20"/>
    <w:rsid w:val="00CB1284"/>
    <w:rsid w:val="00CB134C"/>
    <w:rsid w:val="00CB158B"/>
    <w:rsid w:val="00CB17FA"/>
    <w:rsid w:val="00CB195C"/>
    <w:rsid w:val="00CB1AF7"/>
    <w:rsid w:val="00CB1CF3"/>
    <w:rsid w:val="00CB20BA"/>
    <w:rsid w:val="00CB20EA"/>
    <w:rsid w:val="00CB2273"/>
    <w:rsid w:val="00CB23C0"/>
    <w:rsid w:val="00CB23C5"/>
    <w:rsid w:val="00CB2553"/>
    <w:rsid w:val="00CB2624"/>
    <w:rsid w:val="00CB3046"/>
    <w:rsid w:val="00CB31DE"/>
    <w:rsid w:val="00CB3244"/>
    <w:rsid w:val="00CB38D9"/>
    <w:rsid w:val="00CB39D8"/>
    <w:rsid w:val="00CB406C"/>
    <w:rsid w:val="00CB40EB"/>
    <w:rsid w:val="00CB4386"/>
    <w:rsid w:val="00CB4538"/>
    <w:rsid w:val="00CB4A97"/>
    <w:rsid w:val="00CB4BA4"/>
    <w:rsid w:val="00CB4D0D"/>
    <w:rsid w:val="00CB50CC"/>
    <w:rsid w:val="00CB56B9"/>
    <w:rsid w:val="00CB58BA"/>
    <w:rsid w:val="00CB5A2E"/>
    <w:rsid w:val="00CB5B0D"/>
    <w:rsid w:val="00CB5DDE"/>
    <w:rsid w:val="00CB6094"/>
    <w:rsid w:val="00CB7140"/>
    <w:rsid w:val="00CB71EF"/>
    <w:rsid w:val="00CB73E7"/>
    <w:rsid w:val="00CB7598"/>
    <w:rsid w:val="00CB776F"/>
    <w:rsid w:val="00CB7CD0"/>
    <w:rsid w:val="00CC0204"/>
    <w:rsid w:val="00CC1095"/>
    <w:rsid w:val="00CC10FB"/>
    <w:rsid w:val="00CC11F7"/>
    <w:rsid w:val="00CC12AC"/>
    <w:rsid w:val="00CC1783"/>
    <w:rsid w:val="00CC1D22"/>
    <w:rsid w:val="00CC20D3"/>
    <w:rsid w:val="00CC2417"/>
    <w:rsid w:val="00CC24DD"/>
    <w:rsid w:val="00CC27A9"/>
    <w:rsid w:val="00CC283F"/>
    <w:rsid w:val="00CC2F5C"/>
    <w:rsid w:val="00CC3DE1"/>
    <w:rsid w:val="00CC4045"/>
    <w:rsid w:val="00CC40B8"/>
    <w:rsid w:val="00CC40D6"/>
    <w:rsid w:val="00CC4414"/>
    <w:rsid w:val="00CC47DE"/>
    <w:rsid w:val="00CC498D"/>
    <w:rsid w:val="00CC49BC"/>
    <w:rsid w:val="00CC4A13"/>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0EF"/>
    <w:rsid w:val="00CD1B71"/>
    <w:rsid w:val="00CD1C66"/>
    <w:rsid w:val="00CD1CFF"/>
    <w:rsid w:val="00CD2144"/>
    <w:rsid w:val="00CD2899"/>
    <w:rsid w:val="00CD2A69"/>
    <w:rsid w:val="00CD3514"/>
    <w:rsid w:val="00CD40C7"/>
    <w:rsid w:val="00CD4404"/>
    <w:rsid w:val="00CD4664"/>
    <w:rsid w:val="00CD4C1D"/>
    <w:rsid w:val="00CD4C52"/>
    <w:rsid w:val="00CD4D51"/>
    <w:rsid w:val="00CD51BA"/>
    <w:rsid w:val="00CD551B"/>
    <w:rsid w:val="00CD581E"/>
    <w:rsid w:val="00CD5B24"/>
    <w:rsid w:val="00CD5FFE"/>
    <w:rsid w:val="00CD6148"/>
    <w:rsid w:val="00CD6179"/>
    <w:rsid w:val="00CD62BA"/>
    <w:rsid w:val="00CD6554"/>
    <w:rsid w:val="00CD6557"/>
    <w:rsid w:val="00CD674C"/>
    <w:rsid w:val="00CD6800"/>
    <w:rsid w:val="00CD69B7"/>
    <w:rsid w:val="00CD6A6C"/>
    <w:rsid w:val="00CD6C9A"/>
    <w:rsid w:val="00CD6E9B"/>
    <w:rsid w:val="00CD6F0D"/>
    <w:rsid w:val="00CD6F34"/>
    <w:rsid w:val="00CD6F7D"/>
    <w:rsid w:val="00CD70BC"/>
    <w:rsid w:val="00CD711E"/>
    <w:rsid w:val="00CD74C9"/>
    <w:rsid w:val="00CD7811"/>
    <w:rsid w:val="00CD7CCF"/>
    <w:rsid w:val="00CD7D8F"/>
    <w:rsid w:val="00CD7E55"/>
    <w:rsid w:val="00CD7FC3"/>
    <w:rsid w:val="00CE034C"/>
    <w:rsid w:val="00CE0910"/>
    <w:rsid w:val="00CE1242"/>
    <w:rsid w:val="00CE163E"/>
    <w:rsid w:val="00CE165A"/>
    <w:rsid w:val="00CE183E"/>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4E08"/>
    <w:rsid w:val="00CE56DE"/>
    <w:rsid w:val="00CE58B7"/>
    <w:rsid w:val="00CE5BB7"/>
    <w:rsid w:val="00CE6393"/>
    <w:rsid w:val="00CE63A9"/>
    <w:rsid w:val="00CE6BE2"/>
    <w:rsid w:val="00CE6BE3"/>
    <w:rsid w:val="00CE6C0C"/>
    <w:rsid w:val="00CE6CE9"/>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345"/>
    <w:rsid w:val="00CF2996"/>
    <w:rsid w:val="00CF2D8B"/>
    <w:rsid w:val="00CF3418"/>
    <w:rsid w:val="00CF35AA"/>
    <w:rsid w:val="00CF3B12"/>
    <w:rsid w:val="00CF3BD6"/>
    <w:rsid w:val="00CF3C01"/>
    <w:rsid w:val="00CF3E9D"/>
    <w:rsid w:val="00CF43C0"/>
    <w:rsid w:val="00CF45E6"/>
    <w:rsid w:val="00CF4777"/>
    <w:rsid w:val="00CF4933"/>
    <w:rsid w:val="00CF4A7A"/>
    <w:rsid w:val="00CF4E07"/>
    <w:rsid w:val="00CF4E1D"/>
    <w:rsid w:val="00CF5083"/>
    <w:rsid w:val="00CF598C"/>
    <w:rsid w:val="00CF5AD1"/>
    <w:rsid w:val="00CF5CFD"/>
    <w:rsid w:val="00CF634B"/>
    <w:rsid w:val="00CF6404"/>
    <w:rsid w:val="00CF6D45"/>
    <w:rsid w:val="00CF6F4F"/>
    <w:rsid w:val="00CF7A9C"/>
    <w:rsid w:val="00D001E4"/>
    <w:rsid w:val="00D0024C"/>
    <w:rsid w:val="00D007C8"/>
    <w:rsid w:val="00D00855"/>
    <w:rsid w:val="00D0096F"/>
    <w:rsid w:val="00D00A06"/>
    <w:rsid w:val="00D00BCD"/>
    <w:rsid w:val="00D0109E"/>
    <w:rsid w:val="00D0125C"/>
    <w:rsid w:val="00D014F7"/>
    <w:rsid w:val="00D0185F"/>
    <w:rsid w:val="00D01A0E"/>
    <w:rsid w:val="00D01A4D"/>
    <w:rsid w:val="00D01B4B"/>
    <w:rsid w:val="00D01D72"/>
    <w:rsid w:val="00D02A9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A97"/>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6DB6"/>
    <w:rsid w:val="00D17438"/>
    <w:rsid w:val="00D177AC"/>
    <w:rsid w:val="00D20226"/>
    <w:rsid w:val="00D2027B"/>
    <w:rsid w:val="00D205E2"/>
    <w:rsid w:val="00D20992"/>
    <w:rsid w:val="00D209B3"/>
    <w:rsid w:val="00D209FC"/>
    <w:rsid w:val="00D21694"/>
    <w:rsid w:val="00D2192B"/>
    <w:rsid w:val="00D22354"/>
    <w:rsid w:val="00D22B5F"/>
    <w:rsid w:val="00D23133"/>
    <w:rsid w:val="00D23309"/>
    <w:rsid w:val="00D23540"/>
    <w:rsid w:val="00D23CAF"/>
    <w:rsid w:val="00D23D5B"/>
    <w:rsid w:val="00D23EFB"/>
    <w:rsid w:val="00D24192"/>
    <w:rsid w:val="00D2419F"/>
    <w:rsid w:val="00D244D6"/>
    <w:rsid w:val="00D249A5"/>
    <w:rsid w:val="00D24C48"/>
    <w:rsid w:val="00D25101"/>
    <w:rsid w:val="00D25114"/>
    <w:rsid w:val="00D255EA"/>
    <w:rsid w:val="00D25651"/>
    <w:rsid w:val="00D259B2"/>
    <w:rsid w:val="00D25D6C"/>
    <w:rsid w:val="00D26162"/>
    <w:rsid w:val="00D2674D"/>
    <w:rsid w:val="00D270F5"/>
    <w:rsid w:val="00D27288"/>
    <w:rsid w:val="00D2751C"/>
    <w:rsid w:val="00D27697"/>
    <w:rsid w:val="00D2774E"/>
    <w:rsid w:val="00D277D7"/>
    <w:rsid w:val="00D278C3"/>
    <w:rsid w:val="00D27AFA"/>
    <w:rsid w:val="00D27EC9"/>
    <w:rsid w:val="00D30185"/>
    <w:rsid w:val="00D301B6"/>
    <w:rsid w:val="00D307C3"/>
    <w:rsid w:val="00D31250"/>
    <w:rsid w:val="00D31326"/>
    <w:rsid w:val="00D313A8"/>
    <w:rsid w:val="00D319A1"/>
    <w:rsid w:val="00D31B6E"/>
    <w:rsid w:val="00D31CF6"/>
    <w:rsid w:val="00D3286B"/>
    <w:rsid w:val="00D32BE9"/>
    <w:rsid w:val="00D32F49"/>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4B8"/>
    <w:rsid w:val="00D37692"/>
    <w:rsid w:val="00D37B14"/>
    <w:rsid w:val="00D37ECD"/>
    <w:rsid w:val="00D37F58"/>
    <w:rsid w:val="00D402F7"/>
    <w:rsid w:val="00D4081B"/>
    <w:rsid w:val="00D4108A"/>
    <w:rsid w:val="00D414D9"/>
    <w:rsid w:val="00D415F7"/>
    <w:rsid w:val="00D41999"/>
    <w:rsid w:val="00D41C08"/>
    <w:rsid w:val="00D41D43"/>
    <w:rsid w:val="00D41DD5"/>
    <w:rsid w:val="00D41DDC"/>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68"/>
    <w:rsid w:val="00D45AA7"/>
    <w:rsid w:val="00D45C93"/>
    <w:rsid w:val="00D45D10"/>
    <w:rsid w:val="00D45E3E"/>
    <w:rsid w:val="00D46027"/>
    <w:rsid w:val="00D46053"/>
    <w:rsid w:val="00D460A5"/>
    <w:rsid w:val="00D4615E"/>
    <w:rsid w:val="00D461D2"/>
    <w:rsid w:val="00D46A39"/>
    <w:rsid w:val="00D46A61"/>
    <w:rsid w:val="00D46AE4"/>
    <w:rsid w:val="00D46E61"/>
    <w:rsid w:val="00D477FC"/>
    <w:rsid w:val="00D47D55"/>
    <w:rsid w:val="00D47DCC"/>
    <w:rsid w:val="00D47ED3"/>
    <w:rsid w:val="00D47FC9"/>
    <w:rsid w:val="00D50183"/>
    <w:rsid w:val="00D509B9"/>
    <w:rsid w:val="00D509DD"/>
    <w:rsid w:val="00D50F31"/>
    <w:rsid w:val="00D5122C"/>
    <w:rsid w:val="00D5156B"/>
    <w:rsid w:val="00D5177A"/>
    <w:rsid w:val="00D51789"/>
    <w:rsid w:val="00D519F4"/>
    <w:rsid w:val="00D51B83"/>
    <w:rsid w:val="00D52491"/>
    <w:rsid w:val="00D52A5C"/>
    <w:rsid w:val="00D5319F"/>
    <w:rsid w:val="00D5344C"/>
    <w:rsid w:val="00D53768"/>
    <w:rsid w:val="00D53860"/>
    <w:rsid w:val="00D5426B"/>
    <w:rsid w:val="00D5461B"/>
    <w:rsid w:val="00D54D6A"/>
    <w:rsid w:val="00D55103"/>
    <w:rsid w:val="00D551E1"/>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E35"/>
    <w:rsid w:val="00D61FEC"/>
    <w:rsid w:val="00D62037"/>
    <w:rsid w:val="00D627B2"/>
    <w:rsid w:val="00D629A8"/>
    <w:rsid w:val="00D62DAA"/>
    <w:rsid w:val="00D62F40"/>
    <w:rsid w:val="00D63193"/>
    <w:rsid w:val="00D6332C"/>
    <w:rsid w:val="00D63C3E"/>
    <w:rsid w:val="00D63ED5"/>
    <w:rsid w:val="00D63F99"/>
    <w:rsid w:val="00D64061"/>
    <w:rsid w:val="00D6491F"/>
    <w:rsid w:val="00D64D00"/>
    <w:rsid w:val="00D65347"/>
    <w:rsid w:val="00D655D4"/>
    <w:rsid w:val="00D65C96"/>
    <w:rsid w:val="00D66521"/>
    <w:rsid w:val="00D666DB"/>
    <w:rsid w:val="00D6692D"/>
    <w:rsid w:val="00D66DE0"/>
    <w:rsid w:val="00D670C5"/>
    <w:rsid w:val="00D674EA"/>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E34"/>
    <w:rsid w:val="00D74FAD"/>
    <w:rsid w:val="00D750CB"/>
    <w:rsid w:val="00D75147"/>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49E"/>
    <w:rsid w:val="00D7775F"/>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3A9"/>
    <w:rsid w:val="00D83623"/>
    <w:rsid w:val="00D83D24"/>
    <w:rsid w:val="00D840E0"/>
    <w:rsid w:val="00D840E2"/>
    <w:rsid w:val="00D842F9"/>
    <w:rsid w:val="00D84361"/>
    <w:rsid w:val="00D8450A"/>
    <w:rsid w:val="00D846A9"/>
    <w:rsid w:val="00D84909"/>
    <w:rsid w:val="00D8495A"/>
    <w:rsid w:val="00D84E43"/>
    <w:rsid w:val="00D84FD9"/>
    <w:rsid w:val="00D850CE"/>
    <w:rsid w:val="00D851C7"/>
    <w:rsid w:val="00D854E5"/>
    <w:rsid w:val="00D855F5"/>
    <w:rsid w:val="00D85CF6"/>
    <w:rsid w:val="00D8638F"/>
    <w:rsid w:val="00D86414"/>
    <w:rsid w:val="00D865BE"/>
    <w:rsid w:val="00D86682"/>
    <w:rsid w:val="00D867A1"/>
    <w:rsid w:val="00D86E39"/>
    <w:rsid w:val="00D86E95"/>
    <w:rsid w:val="00D86F1E"/>
    <w:rsid w:val="00D87899"/>
    <w:rsid w:val="00D87AAA"/>
    <w:rsid w:val="00D87DBD"/>
    <w:rsid w:val="00D903B0"/>
    <w:rsid w:val="00D904E7"/>
    <w:rsid w:val="00D9055E"/>
    <w:rsid w:val="00D90985"/>
    <w:rsid w:val="00D909B0"/>
    <w:rsid w:val="00D90DCF"/>
    <w:rsid w:val="00D912F4"/>
    <w:rsid w:val="00D913A2"/>
    <w:rsid w:val="00D913C9"/>
    <w:rsid w:val="00D9199D"/>
    <w:rsid w:val="00D91B3D"/>
    <w:rsid w:val="00D91EA4"/>
    <w:rsid w:val="00D922A4"/>
    <w:rsid w:val="00D92575"/>
    <w:rsid w:val="00D92CAF"/>
    <w:rsid w:val="00D92CD7"/>
    <w:rsid w:val="00D92CFE"/>
    <w:rsid w:val="00D92DA2"/>
    <w:rsid w:val="00D92FCA"/>
    <w:rsid w:val="00D933BB"/>
    <w:rsid w:val="00D93494"/>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EA7"/>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985"/>
    <w:rsid w:val="00DA6FDB"/>
    <w:rsid w:val="00DA7268"/>
    <w:rsid w:val="00DA7390"/>
    <w:rsid w:val="00DA73D2"/>
    <w:rsid w:val="00DA76D8"/>
    <w:rsid w:val="00DA76E6"/>
    <w:rsid w:val="00DA7733"/>
    <w:rsid w:val="00DA774E"/>
    <w:rsid w:val="00DA78D0"/>
    <w:rsid w:val="00DA7DD9"/>
    <w:rsid w:val="00DA7FA4"/>
    <w:rsid w:val="00DB0034"/>
    <w:rsid w:val="00DB0068"/>
    <w:rsid w:val="00DB02F8"/>
    <w:rsid w:val="00DB0727"/>
    <w:rsid w:val="00DB0992"/>
    <w:rsid w:val="00DB12FF"/>
    <w:rsid w:val="00DB1386"/>
    <w:rsid w:val="00DB186F"/>
    <w:rsid w:val="00DB1C7D"/>
    <w:rsid w:val="00DB1E0D"/>
    <w:rsid w:val="00DB2000"/>
    <w:rsid w:val="00DB2041"/>
    <w:rsid w:val="00DB36BE"/>
    <w:rsid w:val="00DB36F7"/>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D24"/>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47"/>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3FE0"/>
    <w:rsid w:val="00DD4414"/>
    <w:rsid w:val="00DD5047"/>
    <w:rsid w:val="00DD52EF"/>
    <w:rsid w:val="00DD544E"/>
    <w:rsid w:val="00DD5B2D"/>
    <w:rsid w:val="00DD5BAE"/>
    <w:rsid w:val="00DD5C79"/>
    <w:rsid w:val="00DD5EC0"/>
    <w:rsid w:val="00DD5F67"/>
    <w:rsid w:val="00DD5FA0"/>
    <w:rsid w:val="00DD6114"/>
    <w:rsid w:val="00DD6224"/>
    <w:rsid w:val="00DD6D63"/>
    <w:rsid w:val="00DD6E8B"/>
    <w:rsid w:val="00DD7075"/>
    <w:rsid w:val="00DD72A0"/>
    <w:rsid w:val="00DD7446"/>
    <w:rsid w:val="00DD7612"/>
    <w:rsid w:val="00DD7665"/>
    <w:rsid w:val="00DD77F8"/>
    <w:rsid w:val="00DD79D3"/>
    <w:rsid w:val="00DD7A39"/>
    <w:rsid w:val="00DD7F32"/>
    <w:rsid w:val="00DE0426"/>
    <w:rsid w:val="00DE06E0"/>
    <w:rsid w:val="00DE0C37"/>
    <w:rsid w:val="00DE0F6F"/>
    <w:rsid w:val="00DE0F77"/>
    <w:rsid w:val="00DE0FB0"/>
    <w:rsid w:val="00DE1031"/>
    <w:rsid w:val="00DE1163"/>
    <w:rsid w:val="00DE116C"/>
    <w:rsid w:val="00DE12BF"/>
    <w:rsid w:val="00DE1523"/>
    <w:rsid w:val="00DE1897"/>
    <w:rsid w:val="00DE1990"/>
    <w:rsid w:val="00DE1DEB"/>
    <w:rsid w:val="00DE1DED"/>
    <w:rsid w:val="00DE201B"/>
    <w:rsid w:val="00DE203F"/>
    <w:rsid w:val="00DE20CE"/>
    <w:rsid w:val="00DE2138"/>
    <w:rsid w:val="00DE2393"/>
    <w:rsid w:val="00DE2693"/>
    <w:rsid w:val="00DE26F6"/>
    <w:rsid w:val="00DE2738"/>
    <w:rsid w:val="00DE2B5B"/>
    <w:rsid w:val="00DE2D31"/>
    <w:rsid w:val="00DE2E01"/>
    <w:rsid w:val="00DE303A"/>
    <w:rsid w:val="00DE3218"/>
    <w:rsid w:val="00DE3421"/>
    <w:rsid w:val="00DE36F7"/>
    <w:rsid w:val="00DE38EE"/>
    <w:rsid w:val="00DE3905"/>
    <w:rsid w:val="00DE3F89"/>
    <w:rsid w:val="00DE4062"/>
    <w:rsid w:val="00DE42A7"/>
    <w:rsid w:val="00DE49B2"/>
    <w:rsid w:val="00DE4D5E"/>
    <w:rsid w:val="00DE4F67"/>
    <w:rsid w:val="00DE52A6"/>
    <w:rsid w:val="00DE52E6"/>
    <w:rsid w:val="00DE5321"/>
    <w:rsid w:val="00DE5996"/>
    <w:rsid w:val="00DE59FA"/>
    <w:rsid w:val="00DE5E78"/>
    <w:rsid w:val="00DE5FD8"/>
    <w:rsid w:val="00DE669F"/>
    <w:rsid w:val="00DE68A6"/>
    <w:rsid w:val="00DE6A0C"/>
    <w:rsid w:val="00DE6AB0"/>
    <w:rsid w:val="00DE6B15"/>
    <w:rsid w:val="00DE6C43"/>
    <w:rsid w:val="00DE7148"/>
    <w:rsid w:val="00DE7265"/>
    <w:rsid w:val="00DE73F6"/>
    <w:rsid w:val="00DE7E36"/>
    <w:rsid w:val="00DE7F09"/>
    <w:rsid w:val="00DF02F2"/>
    <w:rsid w:val="00DF03A7"/>
    <w:rsid w:val="00DF043A"/>
    <w:rsid w:val="00DF05D2"/>
    <w:rsid w:val="00DF0927"/>
    <w:rsid w:val="00DF0C64"/>
    <w:rsid w:val="00DF0D3E"/>
    <w:rsid w:val="00DF150A"/>
    <w:rsid w:val="00DF15FB"/>
    <w:rsid w:val="00DF161F"/>
    <w:rsid w:val="00DF181D"/>
    <w:rsid w:val="00DF1855"/>
    <w:rsid w:val="00DF1C72"/>
    <w:rsid w:val="00DF1CB3"/>
    <w:rsid w:val="00DF1F8F"/>
    <w:rsid w:val="00DF2765"/>
    <w:rsid w:val="00DF2A27"/>
    <w:rsid w:val="00DF2A5D"/>
    <w:rsid w:val="00DF30B9"/>
    <w:rsid w:val="00DF3612"/>
    <w:rsid w:val="00DF3897"/>
    <w:rsid w:val="00DF3BA3"/>
    <w:rsid w:val="00DF3E4E"/>
    <w:rsid w:val="00DF3F30"/>
    <w:rsid w:val="00DF40BC"/>
    <w:rsid w:val="00DF4124"/>
    <w:rsid w:val="00DF4B12"/>
    <w:rsid w:val="00DF4EF5"/>
    <w:rsid w:val="00DF5127"/>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65C"/>
    <w:rsid w:val="00E047D7"/>
    <w:rsid w:val="00E04D39"/>
    <w:rsid w:val="00E0517B"/>
    <w:rsid w:val="00E05A0E"/>
    <w:rsid w:val="00E05C21"/>
    <w:rsid w:val="00E05D09"/>
    <w:rsid w:val="00E06D2E"/>
    <w:rsid w:val="00E07521"/>
    <w:rsid w:val="00E078DC"/>
    <w:rsid w:val="00E07CF7"/>
    <w:rsid w:val="00E1039D"/>
    <w:rsid w:val="00E10589"/>
    <w:rsid w:val="00E10B0E"/>
    <w:rsid w:val="00E10D2A"/>
    <w:rsid w:val="00E10DB9"/>
    <w:rsid w:val="00E10E50"/>
    <w:rsid w:val="00E11067"/>
    <w:rsid w:val="00E118B7"/>
    <w:rsid w:val="00E11EFA"/>
    <w:rsid w:val="00E120FA"/>
    <w:rsid w:val="00E12102"/>
    <w:rsid w:val="00E1211E"/>
    <w:rsid w:val="00E122F8"/>
    <w:rsid w:val="00E12449"/>
    <w:rsid w:val="00E1257D"/>
    <w:rsid w:val="00E127F3"/>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B35"/>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5C"/>
    <w:rsid w:val="00E24AB7"/>
    <w:rsid w:val="00E24B07"/>
    <w:rsid w:val="00E24D17"/>
    <w:rsid w:val="00E258F7"/>
    <w:rsid w:val="00E25A83"/>
    <w:rsid w:val="00E25C10"/>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60C"/>
    <w:rsid w:val="00E30752"/>
    <w:rsid w:val="00E30A4C"/>
    <w:rsid w:val="00E30C9F"/>
    <w:rsid w:val="00E30FD7"/>
    <w:rsid w:val="00E31AC0"/>
    <w:rsid w:val="00E31AFB"/>
    <w:rsid w:val="00E31C4B"/>
    <w:rsid w:val="00E31E27"/>
    <w:rsid w:val="00E31F2D"/>
    <w:rsid w:val="00E32001"/>
    <w:rsid w:val="00E3212F"/>
    <w:rsid w:val="00E32229"/>
    <w:rsid w:val="00E32538"/>
    <w:rsid w:val="00E32839"/>
    <w:rsid w:val="00E3299D"/>
    <w:rsid w:val="00E32D13"/>
    <w:rsid w:val="00E33049"/>
    <w:rsid w:val="00E3329A"/>
    <w:rsid w:val="00E33384"/>
    <w:rsid w:val="00E3350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0EA4"/>
    <w:rsid w:val="00E411CB"/>
    <w:rsid w:val="00E41792"/>
    <w:rsid w:val="00E41A61"/>
    <w:rsid w:val="00E41D41"/>
    <w:rsid w:val="00E41D92"/>
    <w:rsid w:val="00E42020"/>
    <w:rsid w:val="00E42164"/>
    <w:rsid w:val="00E42B97"/>
    <w:rsid w:val="00E42C5A"/>
    <w:rsid w:val="00E4322D"/>
    <w:rsid w:val="00E432C4"/>
    <w:rsid w:val="00E437F1"/>
    <w:rsid w:val="00E43954"/>
    <w:rsid w:val="00E43A0A"/>
    <w:rsid w:val="00E43BD2"/>
    <w:rsid w:val="00E442B0"/>
    <w:rsid w:val="00E449B1"/>
    <w:rsid w:val="00E449FD"/>
    <w:rsid w:val="00E44B89"/>
    <w:rsid w:val="00E451E6"/>
    <w:rsid w:val="00E453D7"/>
    <w:rsid w:val="00E45632"/>
    <w:rsid w:val="00E4569F"/>
    <w:rsid w:val="00E45A5C"/>
    <w:rsid w:val="00E46368"/>
    <w:rsid w:val="00E46D6A"/>
    <w:rsid w:val="00E46E00"/>
    <w:rsid w:val="00E46E8C"/>
    <w:rsid w:val="00E470F9"/>
    <w:rsid w:val="00E471EF"/>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197A"/>
    <w:rsid w:val="00E52594"/>
    <w:rsid w:val="00E52753"/>
    <w:rsid w:val="00E52A2C"/>
    <w:rsid w:val="00E52B70"/>
    <w:rsid w:val="00E52D59"/>
    <w:rsid w:val="00E5303E"/>
    <w:rsid w:val="00E5311F"/>
    <w:rsid w:val="00E53327"/>
    <w:rsid w:val="00E534BF"/>
    <w:rsid w:val="00E53546"/>
    <w:rsid w:val="00E53876"/>
    <w:rsid w:val="00E53AD5"/>
    <w:rsid w:val="00E53ED8"/>
    <w:rsid w:val="00E5413B"/>
    <w:rsid w:val="00E542E7"/>
    <w:rsid w:val="00E5487B"/>
    <w:rsid w:val="00E5520D"/>
    <w:rsid w:val="00E55706"/>
    <w:rsid w:val="00E55A81"/>
    <w:rsid w:val="00E55B6A"/>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11"/>
    <w:rsid w:val="00E60F6E"/>
    <w:rsid w:val="00E611BA"/>
    <w:rsid w:val="00E6125B"/>
    <w:rsid w:val="00E612FD"/>
    <w:rsid w:val="00E61B2C"/>
    <w:rsid w:val="00E61CD3"/>
    <w:rsid w:val="00E6216E"/>
    <w:rsid w:val="00E62296"/>
    <w:rsid w:val="00E625AA"/>
    <w:rsid w:val="00E62902"/>
    <w:rsid w:val="00E62C3E"/>
    <w:rsid w:val="00E62CA9"/>
    <w:rsid w:val="00E62EF4"/>
    <w:rsid w:val="00E6302F"/>
    <w:rsid w:val="00E6369F"/>
    <w:rsid w:val="00E640D5"/>
    <w:rsid w:val="00E64508"/>
    <w:rsid w:val="00E645A5"/>
    <w:rsid w:val="00E64818"/>
    <w:rsid w:val="00E649DF"/>
    <w:rsid w:val="00E64F81"/>
    <w:rsid w:val="00E65190"/>
    <w:rsid w:val="00E65248"/>
    <w:rsid w:val="00E6565B"/>
    <w:rsid w:val="00E658AC"/>
    <w:rsid w:val="00E659A5"/>
    <w:rsid w:val="00E66031"/>
    <w:rsid w:val="00E660E6"/>
    <w:rsid w:val="00E6672A"/>
    <w:rsid w:val="00E668BE"/>
    <w:rsid w:val="00E6693E"/>
    <w:rsid w:val="00E66AED"/>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287"/>
    <w:rsid w:val="00E73DB6"/>
    <w:rsid w:val="00E74012"/>
    <w:rsid w:val="00E74107"/>
    <w:rsid w:val="00E741F3"/>
    <w:rsid w:val="00E74283"/>
    <w:rsid w:val="00E74903"/>
    <w:rsid w:val="00E74C15"/>
    <w:rsid w:val="00E75023"/>
    <w:rsid w:val="00E750A4"/>
    <w:rsid w:val="00E750A6"/>
    <w:rsid w:val="00E751E3"/>
    <w:rsid w:val="00E76377"/>
    <w:rsid w:val="00E76643"/>
    <w:rsid w:val="00E76667"/>
    <w:rsid w:val="00E76AEE"/>
    <w:rsid w:val="00E76C15"/>
    <w:rsid w:val="00E76CE2"/>
    <w:rsid w:val="00E7735A"/>
    <w:rsid w:val="00E77427"/>
    <w:rsid w:val="00E7752B"/>
    <w:rsid w:val="00E7761E"/>
    <w:rsid w:val="00E7768F"/>
    <w:rsid w:val="00E77956"/>
    <w:rsid w:val="00E7798E"/>
    <w:rsid w:val="00E77BE5"/>
    <w:rsid w:val="00E77E1D"/>
    <w:rsid w:val="00E80613"/>
    <w:rsid w:val="00E8063A"/>
    <w:rsid w:val="00E806F7"/>
    <w:rsid w:val="00E806FD"/>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4F8F"/>
    <w:rsid w:val="00E85AAB"/>
    <w:rsid w:val="00E85FA1"/>
    <w:rsid w:val="00E86288"/>
    <w:rsid w:val="00E867CF"/>
    <w:rsid w:val="00E872E3"/>
    <w:rsid w:val="00E87305"/>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3FD2"/>
    <w:rsid w:val="00E941F3"/>
    <w:rsid w:val="00E94412"/>
    <w:rsid w:val="00E9446D"/>
    <w:rsid w:val="00E94782"/>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BD5"/>
    <w:rsid w:val="00EA0C6F"/>
    <w:rsid w:val="00EA1607"/>
    <w:rsid w:val="00EA1A61"/>
    <w:rsid w:val="00EA211F"/>
    <w:rsid w:val="00EA2133"/>
    <w:rsid w:val="00EA2705"/>
    <w:rsid w:val="00EA2976"/>
    <w:rsid w:val="00EA2BA1"/>
    <w:rsid w:val="00EA2C43"/>
    <w:rsid w:val="00EA336D"/>
    <w:rsid w:val="00EA38EB"/>
    <w:rsid w:val="00EA3A40"/>
    <w:rsid w:val="00EA3C0B"/>
    <w:rsid w:val="00EA43B6"/>
    <w:rsid w:val="00EA44B8"/>
    <w:rsid w:val="00EA4B90"/>
    <w:rsid w:val="00EA4CE8"/>
    <w:rsid w:val="00EA4EED"/>
    <w:rsid w:val="00EA517A"/>
    <w:rsid w:val="00EA554D"/>
    <w:rsid w:val="00EA55A2"/>
    <w:rsid w:val="00EA5862"/>
    <w:rsid w:val="00EA5A4D"/>
    <w:rsid w:val="00EA60A5"/>
    <w:rsid w:val="00EA6407"/>
    <w:rsid w:val="00EA6620"/>
    <w:rsid w:val="00EA696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5D"/>
    <w:rsid w:val="00EB29AE"/>
    <w:rsid w:val="00EB2AFF"/>
    <w:rsid w:val="00EB2C0C"/>
    <w:rsid w:val="00EB2C3C"/>
    <w:rsid w:val="00EB2DD0"/>
    <w:rsid w:val="00EB3043"/>
    <w:rsid w:val="00EB3488"/>
    <w:rsid w:val="00EB3CDB"/>
    <w:rsid w:val="00EB3E72"/>
    <w:rsid w:val="00EB3F7E"/>
    <w:rsid w:val="00EB41AE"/>
    <w:rsid w:val="00EB41CE"/>
    <w:rsid w:val="00EB4218"/>
    <w:rsid w:val="00EB42C1"/>
    <w:rsid w:val="00EB4A44"/>
    <w:rsid w:val="00EB4DE4"/>
    <w:rsid w:val="00EB4E9C"/>
    <w:rsid w:val="00EB4F5B"/>
    <w:rsid w:val="00EB5321"/>
    <w:rsid w:val="00EB54B9"/>
    <w:rsid w:val="00EB5600"/>
    <w:rsid w:val="00EB5615"/>
    <w:rsid w:val="00EB6011"/>
    <w:rsid w:val="00EB6255"/>
    <w:rsid w:val="00EB6842"/>
    <w:rsid w:val="00EB71DF"/>
    <w:rsid w:val="00EB7AE5"/>
    <w:rsid w:val="00EB7D78"/>
    <w:rsid w:val="00EB7DBF"/>
    <w:rsid w:val="00EC00AD"/>
    <w:rsid w:val="00EC0142"/>
    <w:rsid w:val="00EC0171"/>
    <w:rsid w:val="00EC0562"/>
    <w:rsid w:val="00EC0C26"/>
    <w:rsid w:val="00EC106C"/>
    <w:rsid w:val="00EC11F3"/>
    <w:rsid w:val="00EC1595"/>
    <w:rsid w:val="00EC1659"/>
    <w:rsid w:val="00EC1AE3"/>
    <w:rsid w:val="00EC1B3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9F8"/>
    <w:rsid w:val="00EC4BCB"/>
    <w:rsid w:val="00EC4BCE"/>
    <w:rsid w:val="00EC5034"/>
    <w:rsid w:val="00EC51E2"/>
    <w:rsid w:val="00EC5808"/>
    <w:rsid w:val="00EC5BEE"/>
    <w:rsid w:val="00EC5DDA"/>
    <w:rsid w:val="00EC60C2"/>
    <w:rsid w:val="00EC6226"/>
    <w:rsid w:val="00EC64D2"/>
    <w:rsid w:val="00EC6512"/>
    <w:rsid w:val="00EC6585"/>
    <w:rsid w:val="00EC7616"/>
    <w:rsid w:val="00EC78AC"/>
    <w:rsid w:val="00EC7E95"/>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DCD"/>
    <w:rsid w:val="00ED7E9E"/>
    <w:rsid w:val="00EE088B"/>
    <w:rsid w:val="00EE092F"/>
    <w:rsid w:val="00EE0DD3"/>
    <w:rsid w:val="00EE0EA3"/>
    <w:rsid w:val="00EE1133"/>
    <w:rsid w:val="00EE132C"/>
    <w:rsid w:val="00EE1ACC"/>
    <w:rsid w:val="00EE1C9E"/>
    <w:rsid w:val="00EE24A2"/>
    <w:rsid w:val="00EE2F90"/>
    <w:rsid w:val="00EE3878"/>
    <w:rsid w:val="00EE398F"/>
    <w:rsid w:val="00EE3CC0"/>
    <w:rsid w:val="00EE3FB9"/>
    <w:rsid w:val="00EE42C7"/>
    <w:rsid w:val="00EE448C"/>
    <w:rsid w:val="00EE4594"/>
    <w:rsid w:val="00EE46BA"/>
    <w:rsid w:val="00EE4819"/>
    <w:rsid w:val="00EE4900"/>
    <w:rsid w:val="00EE4ACE"/>
    <w:rsid w:val="00EE534D"/>
    <w:rsid w:val="00EE5BCD"/>
    <w:rsid w:val="00EE674F"/>
    <w:rsid w:val="00EE6B6E"/>
    <w:rsid w:val="00EE6E3F"/>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3D1F"/>
    <w:rsid w:val="00EF4320"/>
    <w:rsid w:val="00EF458E"/>
    <w:rsid w:val="00EF463C"/>
    <w:rsid w:val="00EF4869"/>
    <w:rsid w:val="00EF4943"/>
    <w:rsid w:val="00EF4A10"/>
    <w:rsid w:val="00EF4F6F"/>
    <w:rsid w:val="00EF55B3"/>
    <w:rsid w:val="00EF59BD"/>
    <w:rsid w:val="00EF5D67"/>
    <w:rsid w:val="00EF5F00"/>
    <w:rsid w:val="00EF6679"/>
    <w:rsid w:val="00EF67CE"/>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A82"/>
    <w:rsid w:val="00F04B47"/>
    <w:rsid w:val="00F04C2C"/>
    <w:rsid w:val="00F04DED"/>
    <w:rsid w:val="00F04EFE"/>
    <w:rsid w:val="00F05286"/>
    <w:rsid w:val="00F055B8"/>
    <w:rsid w:val="00F05653"/>
    <w:rsid w:val="00F05985"/>
    <w:rsid w:val="00F05E35"/>
    <w:rsid w:val="00F06AC7"/>
    <w:rsid w:val="00F06D08"/>
    <w:rsid w:val="00F06DD9"/>
    <w:rsid w:val="00F06E03"/>
    <w:rsid w:val="00F077A3"/>
    <w:rsid w:val="00F07B38"/>
    <w:rsid w:val="00F100C9"/>
    <w:rsid w:val="00F102AE"/>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37D"/>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7B"/>
    <w:rsid w:val="00F237FC"/>
    <w:rsid w:val="00F23987"/>
    <w:rsid w:val="00F23D9F"/>
    <w:rsid w:val="00F23EDA"/>
    <w:rsid w:val="00F2403B"/>
    <w:rsid w:val="00F24DBF"/>
    <w:rsid w:val="00F25358"/>
    <w:rsid w:val="00F254F8"/>
    <w:rsid w:val="00F2565C"/>
    <w:rsid w:val="00F25862"/>
    <w:rsid w:val="00F2586D"/>
    <w:rsid w:val="00F258A5"/>
    <w:rsid w:val="00F259E5"/>
    <w:rsid w:val="00F25A03"/>
    <w:rsid w:val="00F25A5A"/>
    <w:rsid w:val="00F26330"/>
    <w:rsid w:val="00F264A4"/>
    <w:rsid w:val="00F26AF6"/>
    <w:rsid w:val="00F26B27"/>
    <w:rsid w:val="00F26BDC"/>
    <w:rsid w:val="00F279B2"/>
    <w:rsid w:val="00F27A24"/>
    <w:rsid w:val="00F27A41"/>
    <w:rsid w:val="00F27B2A"/>
    <w:rsid w:val="00F27D2B"/>
    <w:rsid w:val="00F30128"/>
    <w:rsid w:val="00F301EA"/>
    <w:rsid w:val="00F30282"/>
    <w:rsid w:val="00F3063D"/>
    <w:rsid w:val="00F30648"/>
    <w:rsid w:val="00F3068A"/>
    <w:rsid w:val="00F308EC"/>
    <w:rsid w:val="00F30FC1"/>
    <w:rsid w:val="00F31268"/>
    <w:rsid w:val="00F314AE"/>
    <w:rsid w:val="00F31615"/>
    <w:rsid w:val="00F32691"/>
    <w:rsid w:val="00F32735"/>
    <w:rsid w:val="00F32AA4"/>
    <w:rsid w:val="00F32B86"/>
    <w:rsid w:val="00F32DD7"/>
    <w:rsid w:val="00F32E27"/>
    <w:rsid w:val="00F32EB1"/>
    <w:rsid w:val="00F33177"/>
    <w:rsid w:val="00F33424"/>
    <w:rsid w:val="00F3387B"/>
    <w:rsid w:val="00F341BF"/>
    <w:rsid w:val="00F3420E"/>
    <w:rsid w:val="00F34308"/>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B7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4EE8"/>
    <w:rsid w:val="00F451BE"/>
    <w:rsid w:val="00F4528E"/>
    <w:rsid w:val="00F452EC"/>
    <w:rsid w:val="00F4582D"/>
    <w:rsid w:val="00F45A6C"/>
    <w:rsid w:val="00F45D59"/>
    <w:rsid w:val="00F45FA6"/>
    <w:rsid w:val="00F46424"/>
    <w:rsid w:val="00F4718E"/>
    <w:rsid w:val="00F4746A"/>
    <w:rsid w:val="00F47664"/>
    <w:rsid w:val="00F4770A"/>
    <w:rsid w:val="00F4783B"/>
    <w:rsid w:val="00F479E9"/>
    <w:rsid w:val="00F479EA"/>
    <w:rsid w:val="00F47C28"/>
    <w:rsid w:val="00F47E32"/>
    <w:rsid w:val="00F47F1F"/>
    <w:rsid w:val="00F47FD4"/>
    <w:rsid w:val="00F47FDA"/>
    <w:rsid w:val="00F50012"/>
    <w:rsid w:val="00F5038A"/>
    <w:rsid w:val="00F50718"/>
    <w:rsid w:val="00F50B83"/>
    <w:rsid w:val="00F523FB"/>
    <w:rsid w:val="00F53198"/>
    <w:rsid w:val="00F53501"/>
    <w:rsid w:val="00F538E1"/>
    <w:rsid w:val="00F53B57"/>
    <w:rsid w:val="00F53F38"/>
    <w:rsid w:val="00F5400D"/>
    <w:rsid w:val="00F54155"/>
    <w:rsid w:val="00F5419C"/>
    <w:rsid w:val="00F54689"/>
    <w:rsid w:val="00F5472D"/>
    <w:rsid w:val="00F54743"/>
    <w:rsid w:val="00F548F8"/>
    <w:rsid w:val="00F54B07"/>
    <w:rsid w:val="00F54DEE"/>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3ED"/>
    <w:rsid w:val="00F6244C"/>
    <w:rsid w:val="00F628F4"/>
    <w:rsid w:val="00F62FEA"/>
    <w:rsid w:val="00F63409"/>
    <w:rsid w:val="00F63652"/>
    <w:rsid w:val="00F636DA"/>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EC8"/>
    <w:rsid w:val="00F6709B"/>
    <w:rsid w:val="00F670B6"/>
    <w:rsid w:val="00F671EF"/>
    <w:rsid w:val="00F673CA"/>
    <w:rsid w:val="00F675BC"/>
    <w:rsid w:val="00F67B4D"/>
    <w:rsid w:val="00F67DCD"/>
    <w:rsid w:val="00F67F01"/>
    <w:rsid w:val="00F7008B"/>
    <w:rsid w:val="00F70595"/>
    <w:rsid w:val="00F705CB"/>
    <w:rsid w:val="00F71442"/>
    <w:rsid w:val="00F7158F"/>
    <w:rsid w:val="00F7165D"/>
    <w:rsid w:val="00F71CB3"/>
    <w:rsid w:val="00F728E1"/>
    <w:rsid w:val="00F72D72"/>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6C6"/>
    <w:rsid w:val="00F75EBB"/>
    <w:rsid w:val="00F760E5"/>
    <w:rsid w:val="00F76215"/>
    <w:rsid w:val="00F76367"/>
    <w:rsid w:val="00F7652A"/>
    <w:rsid w:val="00F76797"/>
    <w:rsid w:val="00F76A44"/>
    <w:rsid w:val="00F7740C"/>
    <w:rsid w:val="00F77A41"/>
    <w:rsid w:val="00F77FEE"/>
    <w:rsid w:val="00F8069A"/>
    <w:rsid w:val="00F80B15"/>
    <w:rsid w:val="00F80D22"/>
    <w:rsid w:val="00F81100"/>
    <w:rsid w:val="00F81448"/>
    <w:rsid w:val="00F8147F"/>
    <w:rsid w:val="00F814DA"/>
    <w:rsid w:val="00F81747"/>
    <w:rsid w:val="00F81B13"/>
    <w:rsid w:val="00F81DF4"/>
    <w:rsid w:val="00F81F3A"/>
    <w:rsid w:val="00F821BB"/>
    <w:rsid w:val="00F82737"/>
    <w:rsid w:val="00F82ACB"/>
    <w:rsid w:val="00F82C1A"/>
    <w:rsid w:val="00F82DCE"/>
    <w:rsid w:val="00F835DD"/>
    <w:rsid w:val="00F83E95"/>
    <w:rsid w:val="00F843EF"/>
    <w:rsid w:val="00F846EB"/>
    <w:rsid w:val="00F848F2"/>
    <w:rsid w:val="00F84D3A"/>
    <w:rsid w:val="00F84E88"/>
    <w:rsid w:val="00F84F67"/>
    <w:rsid w:val="00F8528B"/>
    <w:rsid w:val="00F852F4"/>
    <w:rsid w:val="00F853A8"/>
    <w:rsid w:val="00F854FA"/>
    <w:rsid w:val="00F855E2"/>
    <w:rsid w:val="00F856ED"/>
    <w:rsid w:val="00F85812"/>
    <w:rsid w:val="00F85A26"/>
    <w:rsid w:val="00F85C9C"/>
    <w:rsid w:val="00F85D47"/>
    <w:rsid w:val="00F85F32"/>
    <w:rsid w:val="00F8648D"/>
    <w:rsid w:val="00F8661E"/>
    <w:rsid w:val="00F866FB"/>
    <w:rsid w:val="00F86BC4"/>
    <w:rsid w:val="00F86C0B"/>
    <w:rsid w:val="00F86DE6"/>
    <w:rsid w:val="00F87297"/>
    <w:rsid w:val="00F87906"/>
    <w:rsid w:val="00F87C26"/>
    <w:rsid w:val="00F87FBF"/>
    <w:rsid w:val="00F90545"/>
    <w:rsid w:val="00F90716"/>
    <w:rsid w:val="00F9086F"/>
    <w:rsid w:val="00F90FDF"/>
    <w:rsid w:val="00F9109F"/>
    <w:rsid w:val="00F911AC"/>
    <w:rsid w:val="00F91297"/>
    <w:rsid w:val="00F915D5"/>
    <w:rsid w:val="00F918EA"/>
    <w:rsid w:val="00F91931"/>
    <w:rsid w:val="00F91B03"/>
    <w:rsid w:val="00F91BB4"/>
    <w:rsid w:val="00F91BB7"/>
    <w:rsid w:val="00F91BF5"/>
    <w:rsid w:val="00F91D33"/>
    <w:rsid w:val="00F9266F"/>
    <w:rsid w:val="00F92718"/>
    <w:rsid w:val="00F92DB1"/>
    <w:rsid w:val="00F92E70"/>
    <w:rsid w:val="00F9320C"/>
    <w:rsid w:val="00F93646"/>
    <w:rsid w:val="00F93B0E"/>
    <w:rsid w:val="00F93DFD"/>
    <w:rsid w:val="00F93E16"/>
    <w:rsid w:val="00F93EBA"/>
    <w:rsid w:val="00F93FB9"/>
    <w:rsid w:val="00F93FC2"/>
    <w:rsid w:val="00F94441"/>
    <w:rsid w:val="00F946DE"/>
    <w:rsid w:val="00F94BD0"/>
    <w:rsid w:val="00F94ED6"/>
    <w:rsid w:val="00F94F21"/>
    <w:rsid w:val="00F95075"/>
    <w:rsid w:val="00F95808"/>
    <w:rsid w:val="00F9592F"/>
    <w:rsid w:val="00F95C2A"/>
    <w:rsid w:val="00F962DC"/>
    <w:rsid w:val="00F96343"/>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00"/>
    <w:rsid w:val="00FA3E87"/>
    <w:rsid w:val="00FA45E6"/>
    <w:rsid w:val="00FA4759"/>
    <w:rsid w:val="00FA4BDA"/>
    <w:rsid w:val="00FA4C61"/>
    <w:rsid w:val="00FA4E6C"/>
    <w:rsid w:val="00FA522C"/>
    <w:rsid w:val="00FA53DE"/>
    <w:rsid w:val="00FA549D"/>
    <w:rsid w:val="00FA55A2"/>
    <w:rsid w:val="00FA5DB2"/>
    <w:rsid w:val="00FA5DF0"/>
    <w:rsid w:val="00FA5FAD"/>
    <w:rsid w:val="00FA67A3"/>
    <w:rsid w:val="00FA6A89"/>
    <w:rsid w:val="00FA6E32"/>
    <w:rsid w:val="00FA7314"/>
    <w:rsid w:val="00FA7C8A"/>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B0"/>
    <w:rsid w:val="00FB34AB"/>
    <w:rsid w:val="00FB3CA7"/>
    <w:rsid w:val="00FB4347"/>
    <w:rsid w:val="00FB44CD"/>
    <w:rsid w:val="00FB4651"/>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B7FF0"/>
    <w:rsid w:val="00FC00A6"/>
    <w:rsid w:val="00FC0639"/>
    <w:rsid w:val="00FC063C"/>
    <w:rsid w:val="00FC0ADC"/>
    <w:rsid w:val="00FC14EC"/>
    <w:rsid w:val="00FC156F"/>
    <w:rsid w:val="00FC15FD"/>
    <w:rsid w:val="00FC1D1B"/>
    <w:rsid w:val="00FC1D8C"/>
    <w:rsid w:val="00FC1EC5"/>
    <w:rsid w:val="00FC2226"/>
    <w:rsid w:val="00FC251E"/>
    <w:rsid w:val="00FC2D0E"/>
    <w:rsid w:val="00FC2D86"/>
    <w:rsid w:val="00FC3062"/>
    <w:rsid w:val="00FC32D0"/>
    <w:rsid w:val="00FC34A8"/>
    <w:rsid w:val="00FC3722"/>
    <w:rsid w:val="00FC37E9"/>
    <w:rsid w:val="00FC380A"/>
    <w:rsid w:val="00FC3B1E"/>
    <w:rsid w:val="00FC3B4B"/>
    <w:rsid w:val="00FC3F31"/>
    <w:rsid w:val="00FC46BE"/>
    <w:rsid w:val="00FC4933"/>
    <w:rsid w:val="00FC4DD6"/>
    <w:rsid w:val="00FC4DDA"/>
    <w:rsid w:val="00FC4FEE"/>
    <w:rsid w:val="00FC50CC"/>
    <w:rsid w:val="00FC50EC"/>
    <w:rsid w:val="00FC5975"/>
    <w:rsid w:val="00FC60A5"/>
    <w:rsid w:val="00FC6107"/>
    <w:rsid w:val="00FC6354"/>
    <w:rsid w:val="00FC654E"/>
    <w:rsid w:val="00FC654F"/>
    <w:rsid w:val="00FC6618"/>
    <w:rsid w:val="00FC6C36"/>
    <w:rsid w:val="00FC6CC4"/>
    <w:rsid w:val="00FC726E"/>
    <w:rsid w:val="00FC735D"/>
    <w:rsid w:val="00FC7ACE"/>
    <w:rsid w:val="00FC7BA7"/>
    <w:rsid w:val="00FC7F62"/>
    <w:rsid w:val="00FD049C"/>
    <w:rsid w:val="00FD09E1"/>
    <w:rsid w:val="00FD0A5C"/>
    <w:rsid w:val="00FD0ABB"/>
    <w:rsid w:val="00FD120D"/>
    <w:rsid w:val="00FD1369"/>
    <w:rsid w:val="00FD165E"/>
    <w:rsid w:val="00FD19CF"/>
    <w:rsid w:val="00FD1B95"/>
    <w:rsid w:val="00FD1BE0"/>
    <w:rsid w:val="00FD1C06"/>
    <w:rsid w:val="00FD2358"/>
    <w:rsid w:val="00FD271A"/>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9A0"/>
    <w:rsid w:val="00FD5A4B"/>
    <w:rsid w:val="00FD5A7C"/>
    <w:rsid w:val="00FD5D96"/>
    <w:rsid w:val="00FD6291"/>
    <w:rsid w:val="00FD665B"/>
    <w:rsid w:val="00FD6DC6"/>
    <w:rsid w:val="00FD6FDB"/>
    <w:rsid w:val="00FD7865"/>
    <w:rsid w:val="00FD7907"/>
    <w:rsid w:val="00FD7FCE"/>
    <w:rsid w:val="00FE05C8"/>
    <w:rsid w:val="00FE09D4"/>
    <w:rsid w:val="00FE0BC5"/>
    <w:rsid w:val="00FE109D"/>
    <w:rsid w:val="00FE10F8"/>
    <w:rsid w:val="00FE112C"/>
    <w:rsid w:val="00FE12D4"/>
    <w:rsid w:val="00FE14D0"/>
    <w:rsid w:val="00FE17F5"/>
    <w:rsid w:val="00FE1F79"/>
    <w:rsid w:val="00FE2083"/>
    <w:rsid w:val="00FE2304"/>
    <w:rsid w:val="00FE2B6B"/>
    <w:rsid w:val="00FE2C4B"/>
    <w:rsid w:val="00FE32D7"/>
    <w:rsid w:val="00FE3381"/>
    <w:rsid w:val="00FE38BF"/>
    <w:rsid w:val="00FE3B85"/>
    <w:rsid w:val="00FE3F06"/>
    <w:rsid w:val="00FE4168"/>
    <w:rsid w:val="00FE41C3"/>
    <w:rsid w:val="00FE4859"/>
    <w:rsid w:val="00FE49FB"/>
    <w:rsid w:val="00FE4B2E"/>
    <w:rsid w:val="00FE4C86"/>
    <w:rsid w:val="00FE4CB1"/>
    <w:rsid w:val="00FE50BC"/>
    <w:rsid w:val="00FE5484"/>
    <w:rsid w:val="00FE6AF0"/>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04"/>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5F20"/>
    <w:rsid w:val="00FF6515"/>
    <w:rsid w:val="00FF6723"/>
    <w:rsid w:val="00FF6E16"/>
    <w:rsid w:val="00FF6FA1"/>
    <w:rsid w:val="00FF7308"/>
    <w:rsid w:val="00FF7326"/>
    <w:rsid w:val="00FF7837"/>
    <w:rsid w:val="00FF798E"/>
    <w:rsid w:val="00FF7C22"/>
    <w:rsid w:val="00FF7C25"/>
    <w:rsid w:val="00FF7C75"/>
    <w:rsid w:val="00FF7CB1"/>
    <w:rsid w:val="00FF7F5F"/>
    <w:rsid w:val="020C396B"/>
    <w:rsid w:val="04933305"/>
    <w:rsid w:val="05A642A9"/>
    <w:rsid w:val="05F50046"/>
    <w:rsid w:val="069306DC"/>
    <w:rsid w:val="072E5788"/>
    <w:rsid w:val="093B290A"/>
    <w:rsid w:val="0A0C6569"/>
    <w:rsid w:val="0A4E07C8"/>
    <w:rsid w:val="0FB55984"/>
    <w:rsid w:val="0FBB5756"/>
    <w:rsid w:val="14047FDC"/>
    <w:rsid w:val="14AB56CC"/>
    <w:rsid w:val="157DE2A8"/>
    <w:rsid w:val="16D26AD6"/>
    <w:rsid w:val="17F7A946"/>
    <w:rsid w:val="180902EE"/>
    <w:rsid w:val="182A2EC7"/>
    <w:rsid w:val="182F5FFB"/>
    <w:rsid w:val="197F35DA"/>
    <w:rsid w:val="1B3D21AD"/>
    <w:rsid w:val="1B572BA1"/>
    <w:rsid w:val="1C903FB8"/>
    <w:rsid w:val="1DCC51F8"/>
    <w:rsid w:val="1DDC6B27"/>
    <w:rsid w:val="1E1C28B6"/>
    <w:rsid w:val="1F00450D"/>
    <w:rsid w:val="20AD53EF"/>
    <w:rsid w:val="22413BD1"/>
    <w:rsid w:val="22D02CFC"/>
    <w:rsid w:val="230F6790"/>
    <w:rsid w:val="240724B4"/>
    <w:rsid w:val="264709B4"/>
    <w:rsid w:val="27443041"/>
    <w:rsid w:val="279E5CE6"/>
    <w:rsid w:val="27CA6ED6"/>
    <w:rsid w:val="281448D1"/>
    <w:rsid w:val="2A7EF8DD"/>
    <w:rsid w:val="2B82181C"/>
    <w:rsid w:val="2C757063"/>
    <w:rsid w:val="2E1812E3"/>
    <w:rsid w:val="2E6C00F0"/>
    <w:rsid w:val="2EE31619"/>
    <w:rsid w:val="2FAA5C19"/>
    <w:rsid w:val="31701EBE"/>
    <w:rsid w:val="31A7289F"/>
    <w:rsid w:val="326229AD"/>
    <w:rsid w:val="334179C5"/>
    <w:rsid w:val="342561DF"/>
    <w:rsid w:val="377D527B"/>
    <w:rsid w:val="37DF5BB7"/>
    <w:rsid w:val="391454DD"/>
    <w:rsid w:val="393E0C76"/>
    <w:rsid w:val="3A2416F1"/>
    <w:rsid w:val="3BF17367"/>
    <w:rsid w:val="3D712E7F"/>
    <w:rsid w:val="3F531BD7"/>
    <w:rsid w:val="3F777455"/>
    <w:rsid w:val="3F7FBD00"/>
    <w:rsid w:val="3FBFAA01"/>
    <w:rsid w:val="430F11A8"/>
    <w:rsid w:val="443B0FE2"/>
    <w:rsid w:val="44B44BAF"/>
    <w:rsid w:val="45BD17F6"/>
    <w:rsid w:val="461140B9"/>
    <w:rsid w:val="46BA2397"/>
    <w:rsid w:val="472128A4"/>
    <w:rsid w:val="47F83547"/>
    <w:rsid w:val="4988035B"/>
    <w:rsid w:val="4A1263AF"/>
    <w:rsid w:val="4D3B43A9"/>
    <w:rsid w:val="4D772085"/>
    <w:rsid w:val="4E8E524E"/>
    <w:rsid w:val="4F7921C6"/>
    <w:rsid w:val="4F97A49B"/>
    <w:rsid w:val="4FF7B71F"/>
    <w:rsid w:val="50EC6CC1"/>
    <w:rsid w:val="51331BE3"/>
    <w:rsid w:val="53305814"/>
    <w:rsid w:val="55976C69"/>
    <w:rsid w:val="57D66BD7"/>
    <w:rsid w:val="58004BAC"/>
    <w:rsid w:val="582518B6"/>
    <w:rsid w:val="58DB7087"/>
    <w:rsid w:val="59577FB9"/>
    <w:rsid w:val="5DAF6F89"/>
    <w:rsid w:val="5E7FAAB1"/>
    <w:rsid w:val="5EB4285B"/>
    <w:rsid w:val="5FBD5E76"/>
    <w:rsid w:val="5FD973FA"/>
    <w:rsid w:val="5FF73BAE"/>
    <w:rsid w:val="5FFFF721"/>
    <w:rsid w:val="621A0401"/>
    <w:rsid w:val="622A2426"/>
    <w:rsid w:val="62AF2B1E"/>
    <w:rsid w:val="6400004C"/>
    <w:rsid w:val="653864A2"/>
    <w:rsid w:val="672A0B09"/>
    <w:rsid w:val="672C4EAD"/>
    <w:rsid w:val="679E344C"/>
    <w:rsid w:val="67EF611F"/>
    <w:rsid w:val="688304F8"/>
    <w:rsid w:val="69547CB5"/>
    <w:rsid w:val="69813C68"/>
    <w:rsid w:val="69DF4661"/>
    <w:rsid w:val="6A33502C"/>
    <w:rsid w:val="6BE01C6C"/>
    <w:rsid w:val="6D201F71"/>
    <w:rsid w:val="6D656315"/>
    <w:rsid w:val="6DE04B98"/>
    <w:rsid w:val="6E6FF5F2"/>
    <w:rsid w:val="6EF7F090"/>
    <w:rsid w:val="6F3C270D"/>
    <w:rsid w:val="6FBF9A8F"/>
    <w:rsid w:val="6FBFB6BD"/>
    <w:rsid w:val="6FC5F7FB"/>
    <w:rsid w:val="7224405E"/>
    <w:rsid w:val="73BE0515"/>
    <w:rsid w:val="73BF39A0"/>
    <w:rsid w:val="74B7DDC1"/>
    <w:rsid w:val="74FD7C08"/>
    <w:rsid w:val="753BCFA2"/>
    <w:rsid w:val="75FF92C5"/>
    <w:rsid w:val="75FFBBD3"/>
    <w:rsid w:val="76D55D46"/>
    <w:rsid w:val="76FE63D4"/>
    <w:rsid w:val="773B5EF2"/>
    <w:rsid w:val="7777D32E"/>
    <w:rsid w:val="777F3B0C"/>
    <w:rsid w:val="77A400C7"/>
    <w:rsid w:val="77FFA5CC"/>
    <w:rsid w:val="78296588"/>
    <w:rsid w:val="79321B19"/>
    <w:rsid w:val="793324EC"/>
    <w:rsid w:val="797743C4"/>
    <w:rsid w:val="79DEC352"/>
    <w:rsid w:val="79F7E917"/>
    <w:rsid w:val="7B75F9B7"/>
    <w:rsid w:val="7B9F7377"/>
    <w:rsid w:val="7CA3770C"/>
    <w:rsid w:val="7CFF24AF"/>
    <w:rsid w:val="7CFF5C69"/>
    <w:rsid w:val="7DAEEB61"/>
    <w:rsid w:val="7DBFFF8B"/>
    <w:rsid w:val="7DDB5174"/>
    <w:rsid w:val="7DDD8B79"/>
    <w:rsid w:val="7DFB964A"/>
    <w:rsid w:val="7E6F86D4"/>
    <w:rsid w:val="7EFAAAB5"/>
    <w:rsid w:val="7F5B1EFE"/>
    <w:rsid w:val="7F6F701B"/>
    <w:rsid w:val="7FBCE5EF"/>
    <w:rsid w:val="7FDF89F9"/>
    <w:rsid w:val="7FEF0314"/>
    <w:rsid w:val="7FEF4B44"/>
    <w:rsid w:val="7FF6A6CD"/>
    <w:rsid w:val="7FFF07FA"/>
    <w:rsid w:val="7FFF4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D5278D"/>
  <w15:docId w15:val="{2153C193-63F6-44F0-8714-4846E2EB3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0CAD"/>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440CAD"/>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uiPriority w:val="9"/>
    <w:qFormat/>
    <w:rsid w:val="00440CAD"/>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440CAD"/>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440CA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440CAD"/>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uiPriority w:val="9"/>
    <w:qFormat/>
    <w:rsid w:val="00440CAD"/>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440CAD"/>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440CAD"/>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440CAD"/>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40CAD"/>
    <w:pPr>
      <w:spacing w:after="120"/>
      <w:jc w:val="both"/>
    </w:pPr>
    <w:rPr>
      <w:rFonts w:eastAsia="MS Mincho"/>
    </w:rPr>
  </w:style>
  <w:style w:type="paragraph" w:styleId="BalloonText">
    <w:name w:val="Balloon Text"/>
    <w:basedOn w:val="Normal"/>
    <w:link w:val="BalloonTextChar"/>
    <w:qFormat/>
    <w:rsid w:val="00440CAD"/>
    <w:rPr>
      <w:sz w:val="18"/>
      <w:szCs w:val="18"/>
    </w:rPr>
  </w:style>
  <w:style w:type="paragraph" w:styleId="BodyText2">
    <w:name w:val="Body Text 2"/>
    <w:basedOn w:val="Normal"/>
    <w:qFormat/>
    <w:rsid w:val="00440CAD"/>
    <w:pPr>
      <w:spacing w:after="120" w:line="480" w:lineRule="auto"/>
    </w:pPr>
  </w:style>
  <w:style w:type="paragraph" w:styleId="Caption">
    <w:name w:val="caption"/>
    <w:basedOn w:val="Normal"/>
    <w:next w:val="Normal"/>
    <w:link w:val="CaptionChar"/>
    <w:qFormat/>
    <w:rsid w:val="00440CAD"/>
    <w:pPr>
      <w:overflowPunct w:val="0"/>
      <w:autoSpaceDE w:val="0"/>
      <w:autoSpaceDN w:val="0"/>
      <w:adjustRightInd w:val="0"/>
      <w:spacing w:before="120" w:after="120"/>
      <w:textAlignment w:val="baseline"/>
    </w:pPr>
    <w:rPr>
      <w:szCs w:val="20"/>
      <w:lang w:val="en-GB"/>
    </w:rPr>
  </w:style>
  <w:style w:type="character" w:styleId="CommentReference">
    <w:name w:val="annotation reference"/>
    <w:qFormat/>
    <w:rsid w:val="00440CAD"/>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440CAD"/>
  </w:style>
  <w:style w:type="paragraph" w:styleId="CommentSubject">
    <w:name w:val="annotation subject"/>
    <w:basedOn w:val="CommentText"/>
    <w:next w:val="CommentText"/>
    <w:semiHidden/>
    <w:qFormat/>
    <w:rsid w:val="00440CAD"/>
    <w:rPr>
      <w:b/>
      <w:bCs/>
    </w:rPr>
  </w:style>
  <w:style w:type="paragraph" w:styleId="DocumentMap">
    <w:name w:val="Document Map"/>
    <w:basedOn w:val="Normal"/>
    <w:link w:val="DocumentMapChar"/>
    <w:qFormat/>
    <w:rsid w:val="00440CAD"/>
    <w:pPr>
      <w:shd w:val="clear" w:color="auto" w:fill="000080"/>
    </w:pPr>
  </w:style>
  <w:style w:type="character" w:styleId="Emphasis">
    <w:name w:val="Emphasis"/>
    <w:uiPriority w:val="20"/>
    <w:qFormat/>
    <w:rsid w:val="00440CAD"/>
    <w:rPr>
      <w:i/>
      <w:iCs/>
    </w:rPr>
  </w:style>
  <w:style w:type="paragraph" w:styleId="Footer">
    <w:name w:val="footer"/>
    <w:basedOn w:val="Normal"/>
    <w:link w:val="FooterChar"/>
    <w:uiPriority w:val="99"/>
    <w:qFormat/>
    <w:rsid w:val="00440CAD"/>
    <w:pPr>
      <w:tabs>
        <w:tab w:val="center" w:pos="4153"/>
        <w:tab w:val="right" w:pos="8306"/>
      </w:tabs>
      <w:snapToGrid w:val="0"/>
    </w:pPr>
    <w:rPr>
      <w:sz w:val="18"/>
      <w:szCs w:val="18"/>
    </w:rPr>
  </w:style>
  <w:style w:type="paragraph" w:styleId="Header">
    <w:name w:val="header"/>
    <w:basedOn w:val="Normal"/>
    <w:link w:val="HeaderChar"/>
    <w:qFormat/>
    <w:rsid w:val="00440CAD"/>
    <w:pPr>
      <w:tabs>
        <w:tab w:val="center" w:pos="4536"/>
        <w:tab w:val="right" w:pos="9072"/>
      </w:tabs>
    </w:pPr>
    <w:rPr>
      <w:rFonts w:ascii="Arial" w:eastAsia="MS Mincho" w:hAnsi="Arial"/>
      <w:b/>
    </w:rPr>
  </w:style>
  <w:style w:type="character" w:styleId="Hyperlink">
    <w:name w:val="Hyperlink"/>
    <w:uiPriority w:val="99"/>
    <w:qFormat/>
    <w:rsid w:val="00440CAD"/>
    <w:rPr>
      <w:rFonts w:ascii="Arial" w:eastAsia="SimSun" w:hAnsi="Arial" w:cs="Arial"/>
      <w:color w:val="0000FF"/>
      <w:kern w:val="2"/>
      <w:u w:val="single"/>
      <w:lang w:val="en-US" w:eastAsia="zh-CN" w:bidi="ar-SA"/>
    </w:rPr>
  </w:style>
  <w:style w:type="paragraph" w:styleId="List">
    <w:name w:val="List"/>
    <w:basedOn w:val="Normal"/>
    <w:qFormat/>
    <w:rsid w:val="00440CAD"/>
    <w:pPr>
      <w:ind w:left="283" w:hanging="283"/>
    </w:pPr>
  </w:style>
  <w:style w:type="paragraph" w:styleId="List2">
    <w:name w:val="List 2"/>
    <w:basedOn w:val="List"/>
    <w:qFormat/>
    <w:rsid w:val="00440CAD"/>
    <w:pPr>
      <w:numPr>
        <w:numId w:val="2"/>
      </w:numPr>
      <w:spacing w:before="180"/>
    </w:pPr>
    <w:rPr>
      <w:rFonts w:ascii="Arial" w:hAnsi="Arial"/>
      <w:sz w:val="22"/>
      <w:szCs w:val="20"/>
    </w:rPr>
  </w:style>
  <w:style w:type="paragraph" w:styleId="List3">
    <w:name w:val="List 3"/>
    <w:basedOn w:val="Normal"/>
    <w:qFormat/>
    <w:rsid w:val="00440CAD"/>
    <w:pPr>
      <w:ind w:leftChars="400" w:left="100" w:hangingChars="200" w:hanging="200"/>
    </w:pPr>
  </w:style>
  <w:style w:type="paragraph" w:styleId="ListNumber3">
    <w:name w:val="List Number 3"/>
    <w:basedOn w:val="Normal"/>
    <w:qFormat/>
    <w:rsid w:val="00440CAD"/>
    <w:pPr>
      <w:numPr>
        <w:numId w:val="3"/>
      </w:numPr>
      <w:tabs>
        <w:tab w:val="left" w:pos="926"/>
      </w:tabs>
      <w:overflowPunct w:val="0"/>
      <w:autoSpaceDE w:val="0"/>
      <w:autoSpaceDN w:val="0"/>
      <w:adjustRightInd w:val="0"/>
      <w:spacing w:after="180" w:line="259" w:lineRule="auto"/>
      <w:ind w:left="926"/>
      <w:textAlignment w:val="baseline"/>
    </w:pPr>
    <w:rPr>
      <w:rFonts w:eastAsia="MS Mincho"/>
      <w:szCs w:val="20"/>
      <w:lang w:val="en-GB" w:eastAsia="en-GB"/>
    </w:rPr>
  </w:style>
  <w:style w:type="paragraph" w:styleId="NormalWeb">
    <w:name w:val="Normal (Web)"/>
    <w:basedOn w:val="Normal"/>
    <w:uiPriority w:val="99"/>
    <w:unhideWhenUsed/>
    <w:qFormat/>
    <w:rsid w:val="00440CAD"/>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440CAD"/>
    <w:pPr>
      <w:widowControl w:val="0"/>
      <w:ind w:firstLine="420"/>
      <w:jc w:val="both"/>
    </w:pPr>
    <w:rPr>
      <w:rFonts w:eastAsia="SimSun"/>
      <w:kern w:val="2"/>
      <w:sz w:val="21"/>
      <w:szCs w:val="21"/>
      <w:lang w:eastAsia="zh-CN"/>
    </w:rPr>
  </w:style>
  <w:style w:type="character" w:styleId="PageNumber">
    <w:name w:val="page number"/>
    <w:basedOn w:val="DefaultParagraphFont"/>
    <w:qFormat/>
    <w:rsid w:val="00440CAD"/>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440CAD"/>
    <w:rPr>
      <w:rFonts w:ascii="Calibri" w:eastAsia="SimSun" w:hAnsi="Calibri" w:cs="SimSun"/>
      <w:sz w:val="22"/>
      <w:szCs w:val="22"/>
      <w:lang w:eastAsia="zh-CN"/>
    </w:rPr>
  </w:style>
  <w:style w:type="character" w:styleId="Strong">
    <w:name w:val="Strong"/>
    <w:uiPriority w:val="22"/>
    <w:qFormat/>
    <w:rsid w:val="00440CAD"/>
    <w:rPr>
      <w:rFonts w:ascii="Arial" w:eastAsia="SimSun" w:hAnsi="Arial" w:cs="Arial"/>
      <w:b/>
      <w:bCs/>
      <w:color w:val="0000FF"/>
      <w:kern w:val="2"/>
      <w:lang w:val="en-US" w:eastAsia="zh-CN" w:bidi="ar-SA"/>
    </w:rPr>
  </w:style>
  <w:style w:type="table" w:styleId="TableGrid">
    <w:name w:val="Table Grid"/>
    <w:basedOn w:val="TableNormal"/>
    <w:uiPriority w:val="39"/>
    <w:qFormat/>
    <w:rsid w:val="00440C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rsid w:val="00440CAD"/>
    <w:rPr>
      <w:rFonts w:ascii="Arial" w:eastAsia="SimSun" w:hAnsi="Arial" w:cs="Arial"/>
      <w:color w:val="0000FF"/>
      <w:kern w:val="2"/>
      <w:lang w:val="en-GB" w:eastAsia="en-US" w:bidi="ar-SA"/>
    </w:rPr>
  </w:style>
  <w:style w:type="paragraph" w:customStyle="1" w:styleId="B1">
    <w:name w:val="B1"/>
    <w:basedOn w:val="List"/>
    <w:link w:val="B1Zchn"/>
    <w:qFormat/>
    <w:rsid w:val="00440CAD"/>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440CAD"/>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440CAD"/>
    <w:pPr>
      <w:keepNext/>
      <w:numPr>
        <w:numId w:val="4"/>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440CAD"/>
    <w:pPr>
      <w:ind w:left="1260" w:hanging="1260"/>
    </w:pPr>
    <w:rPr>
      <w:rFonts w:ascii="Arial" w:eastAsia="MS Mincho" w:hAnsi="Arial"/>
      <w:lang w:val="en-GB" w:eastAsia="en-GB"/>
    </w:rPr>
  </w:style>
  <w:style w:type="paragraph" w:customStyle="1" w:styleId="CharCharCharChar">
    <w:name w:val="Char Char Char Char"/>
    <w:semiHidden/>
    <w:qFormat/>
    <w:rsid w:val="00440CAD"/>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440CAD"/>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440CAD"/>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440CAD"/>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440CA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40CAD"/>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440CAD"/>
    <w:rPr>
      <w:rFonts w:ascii="Arial" w:eastAsia="MS Mincho" w:hAnsi="Arial"/>
      <w:i/>
      <w:sz w:val="16"/>
      <w:lang w:val="en-GB" w:eastAsia="en-GB"/>
    </w:rPr>
  </w:style>
  <w:style w:type="character" w:customStyle="1" w:styleId="CommentsChar">
    <w:name w:val="Comments Char"/>
    <w:link w:val="Comments"/>
    <w:qFormat/>
    <w:rsid w:val="00440CAD"/>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440CAD"/>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440CAD"/>
    <w:rPr>
      <w:rFonts w:ascii="Arial" w:eastAsia="SimSun" w:hAnsi="Arial" w:cs="Arial"/>
      <w:color w:val="0000FF"/>
      <w:kern w:val="2"/>
      <w:lang w:val="en-GB" w:eastAsia="ko-KR" w:bidi="ar-SA"/>
    </w:rPr>
  </w:style>
  <w:style w:type="paragraph" w:customStyle="1" w:styleId="ZT">
    <w:name w:val="ZT"/>
    <w:qFormat/>
    <w:rsid w:val="00440CAD"/>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40CAD"/>
    <w:rPr>
      <w:rFonts w:ascii="Arial" w:eastAsia="SimSun" w:hAnsi="Arial" w:cs="Arial"/>
      <w:color w:val="0000FF"/>
      <w:kern w:val="2"/>
      <w:lang w:val="en-GB" w:eastAsia="ja-JP" w:bidi="ar-SA"/>
    </w:rPr>
  </w:style>
  <w:style w:type="character" w:customStyle="1" w:styleId="Doc-titleChar">
    <w:name w:val="Doc-title Char"/>
    <w:link w:val="Doc-title"/>
    <w:qFormat/>
    <w:rsid w:val="00440CAD"/>
    <w:rPr>
      <w:rFonts w:ascii="Arial" w:eastAsia="MS Mincho" w:hAnsi="Arial" w:cs="Arial"/>
      <w:color w:val="0000FF"/>
      <w:kern w:val="2"/>
      <w:szCs w:val="24"/>
      <w:lang w:val="en-GB" w:eastAsia="en-GB" w:bidi="ar-SA"/>
    </w:rPr>
  </w:style>
  <w:style w:type="character" w:customStyle="1" w:styleId="B1Char">
    <w:name w:val="B1 Char"/>
    <w:qFormat/>
    <w:rsid w:val="00440CAD"/>
    <w:rPr>
      <w:rFonts w:ascii="Arial" w:eastAsia="SimSun" w:hAnsi="Arial" w:cs="Arial"/>
      <w:color w:val="0000FF"/>
      <w:kern w:val="2"/>
      <w:lang w:val="en-GB" w:eastAsia="ja-JP" w:bidi="ar-SA"/>
    </w:rPr>
  </w:style>
  <w:style w:type="character" w:customStyle="1" w:styleId="B2Char">
    <w:name w:val="B2 Char"/>
    <w:link w:val="B2"/>
    <w:qFormat/>
    <w:rsid w:val="00440CAD"/>
    <w:rPr>
      <w:rFonts w:ascii="Arial" w:eastAsia="MS Mincho" w:hAnsi="Arial" w:cs="Arial"/>
      <w:color w:val="0000FF"/>
      <w:kern w:val="2"/>
      <w:lang w:val="en-GB" w:eastAsia="en-US" w:bidi="ar-SA"/>
    </w:rPr>
  </w:style>
  <w:style w:type="paragraph" w:customStyle="1" w:styleId="NO">
    <w:name w:val="NO"/>
    <w:basedOn w:val="Normal"/>
    <w:link w:val="NOChar"/>
    <w:qFormat/>
    <w:rsid w:val="00440CAD"/>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440CAD"/>
    <w:rPr>
      <w:rFonts w:ascii="Arial" w:eastAsia="SimSun" w:hAnsi="Arial" w:cs="Arial"/>
      <w:color w:val="0000FF"/>
      <w:kern w:val="2"/>
      <w:lang w:val="en-GB" w:eastAsia="ja-JP" w:bidi="ar-SA"/>
    </w:rPr>
  </w:style>
  <w:style w:type="paragraph" w:customStyle="1" w:styleId="CarCarChar">
    <w:name w:val="Car Car Char"/>
    <w:semiHidden/>
    <w:qFormat/>
    <w:rsid w:val="00440CAD"/>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440CAD"/>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440CAD"/>
    <w:rPr>
      <w:rFonts w:ascii="Arial" w:eastAsia="SimSun" w:hAnsi="Arial" w:cs="Arial"/>
      <w:color w:val="0000FF"/>
      <w:kern w:val="2"/>
      <w:lang w:val="en-GB" w:eastAsia="ja-JP" w:bidi="ar-SA"/>
    </w:rPr>
  </w:style>
  <w:style w:type="paragraph" w:customStyle="1" w:styleId="TAH">
    <w:name w:val="TAH"/>
    <w:basedOn w:val="TAC"/>
    <w:link w:val="TAHCar"/>
    <w:qFormat/>
    <w:rsid w:val="00440CAD"/>
    <w:rPr>
      <w:b/>
    </w:rPr>
  </w:style>
  <w:style w:type="paragraph" w:customStyle="1" w:styleId="TAC">
    <w:name w:val="TAC"/>
    <w:basedOn w:val="Normal"/>
    <w:link w:val="TACChar"/>
    <w:qFormat/>
    <w:rsid w:val="00440CAD"/>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440CAD"/>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440CAD"/>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440CAD"/>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440CAD"/>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440CAD"/>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440CAD"/>
    <w:rPr>
      <w:rFonts w:ascii="Arial" w:eastAsia="SimSun" w:hAnsi="Arial" w:cs="Arial"/>
      <w:color w:val="0000FF"/>
      <w:kern w:val="2"/>
      <w:sz w:val="21"/>
      <w:szCs w:val="21"/>
      <w:lang w:val="en-US" w:eastAsia="zh-CN" w:bidi="ar-SA"/>
    </w:rPr>
  </w:style>
  <w:style w:type="paragraph" w:customStyle="1" w:styleId="ListParagraph1">
    <w:name w:val="List Paragraph1"/>
    <w:basedOn w:val="Normal"/>
    <w:link w:val="ListParagraphChar"/>
    <w:uiPriority w:val="34"/>
    <w:qFormat/>
    <w:rsid w:val="00440CAD"/>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qFormat/>
    <w:rsid w:val="00440CAD"/>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440CAD"/>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440CAD"/>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440CAD"/>
    <w:rPr>
      <w:rFonts w:ascii="Arial" w:eastAsia="SimSun" w:hAnsi="Arial" w:cs="Arial"/>
      <w:color w:val="0000FF"/>
      <w:kern w:val="2"/>
      <w:lang w:val="en-US" w:eastAsia="zh-CN" w:bidi="ar-SA"/>
    </w:rPr>
  </w:style>
  <w:style w:type="character" w:customStyle="1" w:styleId="Heading2Char">
    <w:name w:val="Heading 2 Char"/>
    <w:link w:val="Heading2"/>
    <w:qFormat/>
    <w:rsid w:val="00440CAD"/>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440CAD"/>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440CAD"/>
    <w:pPr>
      <w:numPr>
        <w:numId w:val="5"/>
      </w:numPr>
      <w:spacing w:before="240" w:after="60"/>
    </w:pPr>
    <w:rPr>
      <w:rFonts w:eastAsia="Batang"/>
      <w:lang w:val="en-GB" w:eastAsia="en-US"/>
    </w:rPr>
  </w:style>
  <w:style w:type="character" w:customStyle="1" w:styleId="THChar">
    <w:name w:val="TH Char"/>
    <w:link w:val="TH"/>
    <w:qFormat/>
    <w:locked/>
    <w:rsid w:val="00440CAD"/>
    <w:rPr>
      <w:rFonts w:ascii="Arial" w:eastAsia="Times New Roman" w:hAnsi="Arial"/>
      <w:b/>
      <w:lang w:val="en-GB" w:eastAsia="ja-JP"/>
    </w:rPr>
  </w:style>
  <w:style w:type="character" w:customStyle="1" w:styleId="TALCar">
    <w:name w:val="TAL Car"/>
    <w:link w:val="TAL"/>
    <w:qFormat/>
    <w:locked/>
    <w:rsid w:val="00440CAD"/>
    <w:rPr>
      <w:rFonts w:ascii="Arial" w:hAnsi="Arial" w:cs="Arial"/>
      <w:color w:val="0000FF"/>
      <w:kern w:val="2"/>
      <w:sz w:val="18"/>
      <w:lang w:val="en-GB" w:eastAsia="en-US"/>
    </w:rPr>
  </w:style>
  <w:style w:type="paragraph" w:customStyle="1" w:styleId="TAL">
    <w:name w:val="TAL"/>
    <w:basedOn w:val="Normal"/>
    <w:link w:val="TALCar"/>
    <w:qFormat/>
    <w:rsid w:val="00440CAD"/>
    <w:pPr>
      <w:keepNext/>
      <w:keepLines/>
    </w:pPr>
    <w:rPr>
      <w:rFonts w:ascii="Arial" w:eastAsia="SimSun" w:hAnsi="Arial" w:cs="Arial"/>
      <w:color w:val="0000FF"/>
      <w:kern w:val="2"/>
      <w:sz w:val="18"/>
      <w:szCs w:val="20"/>
      <w:lang w:val="en-GB"/>
    </w:rPr>
  </w:style>
  <w:style w:type="paragraph" w:customStyle="1" w:styleId="TAN">
    <w:name w:val="TAN"/>
    <w:basedOn w:val="TAL"/>
    <w:qFormat/>
    <w:rsid w:val="00440CAD"/>
    <w:pPr>
      <w:ind w:left="851" w:hanging="851"/>
    </w:pPr>
  </w:style>
  <w:style w:type="paragraph" w:customStyle="1" w:styleId="LGTdoc">
    <w:name w:val="LGTdoc_본문"/>
    <w:basedOn w:val="Normal"/>
    <w:qFormat/>
    <w:rsid w:val="00440CA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440CAD"/>
    <w:rPr>
      <w:rFonts w:ascii="Arial" w:eastAsia="MS Mincho" w:hAnsi="Arial" w:cs="Arial"/>
      <w:b/>
      <w:bCs/>
      <w:sz w:val="26"/>
      <w:szCs w:val="26"/>
      <w:lang w:eastAsia="en-US"/>
    </w:rPr>
  </w:style>
  <w:style w:type="character" w:customStyle="1" w:styleId="ListParagraphChar">
    <w:name w:val="List Paragraph Char"/>
    <w:link w:val="ListParagraph1"/>
    <w:uiPriority w:val="34"/>
    <w:qFormat/>
    <w:locked/>
    <w:rsid w:val="00440CAD"/>
    <w:rPr>
      <w:rFonts w:ascii="SimSun" w:hAnsi="SimSun" w:cs="SimSun"/>
      <w:sz w:val="24"/>
      <w:szCs w:val="24"/>
    </w:rPr>
  </w:style>
  <w:style w:type="paragraph" w:customStyle="1" w:styleId="maintext">
    <w:name w:val="main text"/>
    <w:basedOn w:val="Normal"/>
    <w:link w:val="maintextChar"/>
    <w:qFormat/>
    <w:rsid w:val="00440CAD"/>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440CAD"/>
    <w:rPr>
      <w:rFonts w:eastAsia="Malgun Gothic" w:cs="Batang"/>
      <w:lang w:val="en-GB" w:eastAsia="ko-KR"/>
    </w:rPr>
  </w:style>
  <w:style w:type="character" w:customStyle="1" w:styleId="high-light-bg">
    <w:name w:val="high-light-bg"/>
    <w:qFormat/>
    <w:rsid w:val="00440CAD"/>
  </w:style>
  <w:style w:type="character" w:customStyle="1" w:styleId="apple-converted-space">
    <w:name w:val="apple-converted-space"/>
    <w:qFormat/>
    <w:rsid w:val="00440CAD"/>
  </w:style>
  <w:style w:type="character" w:customStyle="1" w:styleId="PlainTextChar">
    <w:name w:val="Plain Text Char"/>
    <w:link w:val="PlainText"/>
    <w:uiPriority w:val="99"/>
    <w:qFormat/>
    <w:rsid w:val="00440CAD"/>
    <w:rPr>
      <w:rFonts w:ascii="Calibri" w:eastAsia="SimSun" w:hAnsi="Calibri" w:cs="SimSun"/>
      <w:color w:val="0000FF"/>
      <w:kern w:val="2"/>
      <w:sz w:val="22"/>
      <w:szCs w:val="22"/>
      <w:lang w:val="en-US" w:eastAsia="zh-CN" w:bidi="ar-SA"/>
    </w:rPr>
  </w:style>
  <w:style w:type="character" w:customStyle="1" w:styleId="PlaceholderText1">
    <w:name w:val="Placeholder Text1"/>
    <w:basedOn w:val="DefaultParagraphFont"/>
    <w:uiPriority w:val="99"/>
    <w:semiHidden/>
    <w:qFormat/>
    <w:rsid w:val="00440CAD"/>
    <w:rPr>
      <w:rFonts w:ascii="Arial" w:eastAsia="SimSun" w:hAnsi="Arial" w:cs="Arial"/>
      <w:color w:val="0000FF"/>
      <w:kern w:val="2"/>
      <w:lang w:val="en-US" w:eastAsia="zh-CN" w:bidi="ar-SA"/>
    </w:rPr>
  </w:style>
  <w:style w:type="character" w:customStyle="1" w:styleId="CommentTextChar">
    <w:name w:val="Comment Text Char"/>
    <w:link w:val="CommentText"/>
    <w:qFormat/>
    <w:rsid w:val="00440CAD"/>
    <w:rPr>
      <w:rFonts w:eastAsia="Times New Roman"/>
      <w:szCs w:val="24"/>
      <w:lang w:eastAsia="en-US"/>
    </w:rPr>
  </w:style>
  <w:style w:type="character" w:customStyle="1" w:styleId="HeaderChar">
    <w:name w:val="Header Char"/>
    <w:link w:val="Header"/>
    <w:qFormat/>
    <w:rsid w:val="00440CAD"/>
    <w:rPr>
      <w:rFonts w:ascii="Arial" w:eastAsia="MS Mincho" w:hAnsi="Arial"/>
      <w:b/>
      <w:szCs w:val="24"/>
      <w:lang w:eastAsia="en-US"/>
    </w:rPr>
  </w:style>
  <w:style w:type="character" w:customStyle="1" w:styleId="TACChar">
    <w:name w:val="TAC Char"/>
    <w:link w:val="TAC"/>
    <w:qFormat/>
    <w:locked/>
    <w:rsid w:val="00440CAD"/>
    <w:rPr>
      <w:rFonts w:ascii="Arial" w:eastAsia="Times New Roman" w:hAnsi="Arial"/>
      <w:sz w:val="18"/>
      <w:lang w:val="en-GB" w:eastAsia="ja-JP"/>
    </w:rPr>
  </w:style>
  <w:style w:type="character" w:customStyle="1" w:styleId="TAHCar">
    <w:name w:val="TAH Car"/>
    <w:link w:val="TAH"/>
    <w:qFormat/>
    <w:rsid w:val="00440CAD"/>
    <w:rPr>
      <w:rFonts w:ascii="Arial" w:eastAsia="Times New Roman" w:hAnsi="Arial"/>
      <w:b/>
      <w:sz w:val="18"/>
      <w:lang w:val="en-GB" w:eastAsia="ja-JP"/>
    </w:rPr>
  </w:style>
  <w:style w:type="character" w:customStyle="1" w:styleId="zi041">
    <w:name w:val="zi_041"/>
    <w:qFormat/>
    <w:rsid w:val="00440CAD"/>
    <w:rPr>
      <w:color w:val="595959"/>
      <w:sz w:val="18"/>
      <w:szCs w:val="18"/>
    </w:rPr>
  </w:style>
  <w:style w:type="paragraph" w:customStyle="1" w:styleId="textintend1">
    <w:name w:val="text intend 1"/>
    <w:basedOn w:val="Normal"/>
    <w:qFormat/>
    <w:rsid w:val="00440CAD"/>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sid w:val="00440CAD"/>
    <w:rPr>
      <w:rFonts w:ascii="Times New Roman" w:eastAsia="MS Mincho" w:hAnsi="Times New Roman" w:cs="Times New Roman"/>
      <w:sz w:val="20"/>
      <w:szCs w:val="24"/>
      <w:lang w:val="en-US"/>
    </w:rPr>
  </w:style>
  <w:style w:type="table" w:customStyle="1" w:styleId="1">
    <w:name w:val="网格型1"/>
    <w:basedOn w:val="TableNormal"/>
    <w:qFormat/>
    <w:rsid w:val="00440CAD"/>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sid w:val="00440CAD"/>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qFormat/>
    <w:rsid w:val="00440CAD"/>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qFormat/>
    <w:rsid w:val="00440CAD"/>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qFormat/>
    <w:rsid w:val="00440CAD"/>
    <w:pPr>
      <w:numPr>
        <w:ilvl w:val="2"/>
        <w:numId w:val="7"/>
      </w:numPr>
    </w:pPr>
  </w:style>
  <w:style w:type="character" w:customStyle="1" w:styleId="FooterChar">
    <w:name w:val="Footer Char"/>
    <w:basedOn w:val="DefaultParagraphFont"/>
    <w:link w:val="Footer"/>
    <w:uiPriority w:val="99"/>
    <w:qFormat/>
    <w:rsid w:val="00440CAD"/>
    <w:rPr>
      <w:rFonts w:eastAsia="Times New Roman"/>
      <w:sz w:val="18"/>
      <w:szCs w:val="18"/>
      <w:lang w:eastAsia="en-US"/>
    </w:rPr>
  </w:style>
  <w:style w:type="character" w:customStyle="1" w:styleId="xxapple-converted-space">
    <w:name w:val="x_xapple-converted-space"/>
    <w:basedOn w:val="DefaultParagraphFont"/>
    <w:qFormat/>
    <w:rsid w:val="00440CAD"/>
  </w:style>
  <w:style w:type="character" w:customStyle="1" w:styleId="B10">
    <w:name w:val="B1 (文字)"/>
    <w:qFormat/>
    <w:rsid w:val="00440CAD"/>
    <w:rPr>
      <w:rFonts w:ascii="Times New Roman" w:hAnsi="Times New Roman"/>
      <w:lang w:eastAsia="en-US"/>
    </w:rPr>
  </w:style>
  <w:style w:type="paragraph" w:customStyle="1" w:styleId="Style1">
    <w:name w:val="_Style 1"/>
    <w:basedOn w:val="Normal"/>
    <w:uiPriority w:val="34"/>
    <w:qFormat/>
    <w:rsid w:val="00440CAD"/>
    <w:pPr>
      <w:ind w:leftChars="400" w:left="840"/>
    </w:pPr>
  </w:style>
  <w:style w:type="paragraph" w:customStyle="1" w:styleId="ListParagraph2">
    <w:name w:val="List Paragraph2"/>
    <w:basedOn w:val="Normal"/>
    <w:uiPriority w:val="34"/>
    <w:qFormat/>
    <w:rsid w:val="00440CAD"/>
    <w:pPr>
      <w:overflowPunct w:val="0"/>
      <w:autoSpaceDE w:val="0"/>
      <w:autoSpaceDN w:val="0"/>
      <w:adjustRightInd w:val="0"/>
      <w:spacing w:after="180"/>
      <w:ind w:left="720"/>
      <w:contextualSpacing/>
      <w:textAlignment w:val="baseline"/>
    </w:pPr>
    <w:rPr>
      <w:rFonts w:eastAsia="SimSun"/>
      <w:szCs w:val="20"/>
      <w:lang w:eastAsia="ja-JP"/>
    </w:rPr>
  </w:style>
  <w:style w:type="paragraph" w:customStyle="1" w:styleId="10">
    <w:name w:val="목록 단락1"/>
    <w:basedOn w:val="Normal"/>
    <w:link w:val="a"/>
    <w:uiPriority w:val="34"/>
    <w:qFormat/>
    <w:rsid w:val="00440CAD"/>
    <w:pPr>
      <w:spacing w:after="160" w:line="259" w:lineRule="auto"/>
      <w:ind w:leftChars="400" w:left="840"/>
    </w:pPr>
    <w:rPr>
      <w:rFonts w:eastAsia="MS Gothic"/>
      <w:sz w:val="24"/>
      <w:szCs w:val="20"/>
      <w:lang w:val="en-GB" w:eastAsia="ja-JP"/>
    </w:rPr>
  </w:style>
  <w:style w:type="character" w:customStyle="1" w:styleId="a">
    <w:name w:val="リスト段落 (文字)"/>
    <w:link w:val="10"/>
    <w:uiPriority w:val="34"/>
    <w:qFormat/>
    <w:locked/>
    <w:rsid w:val="00440CAD"/>
    <w:rPr>
      <w:rFonts w:eastAsia="MS Gothic"/>
      <w:sz w:val="24"/>
      <w:lang w:val="en-GB" w:eastAsia="ja-JP"/>
    </w:rPr>
  </w:style>
  <w:style w:type="paragraph" w:styleId="ListParagraph">
    <w:name w:val="List Paragraph"/>
    <w:basedOn w:val="Normal"/>
    <w:link w:val="ListParagraphChar1"/>
    <w:uiPriority w:val="34"/>
    <w:qFormat/>
    <w:rsid w:val="00440CAD"/>
    <w:pPr>
      <w:spacing w:after="0" w:line="240" w:lineRule="auto"/>
      <w:ind w:leftChars="400" w:left="840"/>
    </w:pPr>
    <w:rPr>
      <w:rFonts w:eastAsia="MS Gothic"/>
      <w:sz w:val="24"/>
      <w:szCs w:val="20"/>
      <w:lang w:val="en-GB" w:eastAsia="ja-JP"/>
    </w:rPr>
  </w:style>
  <w:style w:type="character" w:customStyle="1" w:styleId="ListParagraphChar1">
    <w:name w:val="List Paragraph Char1"/>
    <w:link w:val="ListParagraph"/>
    <w:uiPriority w:val="34"/>
    <w:qFormat/>
    <w:locked/>
    <w:rsid w:val="00440CAD"/>
    <w:rPr>
      <w:rFonts w:eastAsia="MS Gothic"/>
      <w:sz w:val="24"/>
      <w:lang w:val="en-GB" w:eastAsia="ja-JP"/>
    </w:rPr>
  </w:style>
  <w:style w:type="character" w:customStyle="1" w:styleId="4">
    <w:name w:val="列表段落 字符4"/>
    <w:uiPriority w:val="34"/>
    <w:qFormat/>
    <w:locked/>
    <w:rsid w:val="00440CAD"/>
    <w:rPr>
      <w:rFonts w:eastAsia="SimSun"/>
      <w:lang w:eastAsia="ja-JP"/>
    </w:rPr>
  </w:style>
  <w:style w:type="character" w:styleId="PlaceholderText">
    <w:name w:val="Placeholder Text"/>
    <w:basedOn w:val="DefaultParagraphFont"/>
    <w:uiPriority w:val="99"/>
    <w:unhideWhenUsed/>
    <w:qFormat/>
    <w:rsid w:val="00440CAD"/>
    <w:rPr>
      <w:color w:val="808080"/>
    </w:rPr>
  </w:style>
  <w:style w:type="paragraph" w:customStyle="1" w:styleId="EQ">
    <w:name w:val="EQ"/>
    <w:basedOn w:val="Normal"/>
    <w:next w:val="Normal"/>
    <w:qFormat/>
    <w:rsid w:val="00440CAD"/>
    <w:pPr>
      <w:keepLines/>
      <w:tabs>
        <w:tab w:val="center" w:pos="4536"/>
        <w:tab w:val="right" w:pos="9639"/>
      </w:tabs>
    </w:pPr>
  </w:style>
  <w:style w:type="character" w:customStyle="1" w:styleId="11">
    <w:name w:val="列表段落 字符1"/>
    <w:uiPriority w:val="34"/>
    <w:qFormat/>
    <w:rsid w:val="00440CAD"/>
    <w:rPr>
      <w:rFonts w:ascii="Times" w:eastAsia="Batang" w:hAnsi="Times"/>
      <w:szCs w:val="24"/>
      <w:lang w:val="en-GB" w:eastAsia="zh-CN"/>
    </w:rPr>
  </w:style>
  <w:style w:type="character" w:customStyle="1" w:styleId="0MaintextChar">
    <w:name w:val="0 Main text Char"/>
    <w:link w:val="0Maintext"/>
    <w:qFormat/>
    <w:locked/>
    <w:rsid w:val="00440CAD"/>
    <w:rPr>
      <w:lang w:val="en-GB" w:eastAsia="en-US"/>
    </w:rPr>
  </w:style>
  <w:style w:type="paragraph" w:customStyle="1" w:styleId="0Maintext">
    <w:name w:val="0 Main text"/>
    <w:basedOn w:val="Normal"/>
    <w:link w:val="0MaintextChar"/>
    <w:qFormat/>
    <w:rsid w:val="00440CAD"/>
    <w:pPr>
      <w:spacing w:after="0" w:line="240" w:lineRule="auto"/>
      <w:jc w:val="both"/>
    </w:pPr>
    <w:rPr>
      <w:rFonts w:eastAsia="SimSun"/>
      <w:szCs w:val="20"/>
      <w:lang w:val="en-GB"/>
    </w:rPr>
  </w:style>
  <w:style w:type="character" w:customStyle="1" w:styleId="DocumentMapChar">
    <w:name w:val="Document Map Char"/>
    <w:basedOn w:val="DefaultParagraphFont"/>
    <w:link w:val="DocumentMap"/>
    <w:qFormat/>
    <w:rsid w:val="00440CAD"/>
    <w:rPr>
      <w:rFonts w:eastAsia="Times New Roman"/>
      <w:szCs w:val="24"/>
      <w:shd w:val="clear" w:color="auto" w:fill="000080"/>
      <w:lang w:eastAsia="en-US"/>
    </w:rPr>
  </w:style>
  <w:style w:type="character" w:customStyle="1" w:styleId="BalloonTextChar">
    <w:name w:val="Balloon Text Char"/>
    <w:basedOn w:val="DefaultParagraphFont"/>
    <w:link w:val="BalloonText"/>
    <w:qFormat/>
    <w:rsid w:val="00440CAD"/>
    <w:rPr>
      <w:rFonts w:eastAsia="Times New Roman"/>
      <w:sz w:val="18"/>
      <w:szCs w:val="18"/>
      <w:lang w:eastAsia="en-US"/>
    </w:rPr>
  </w:style>
  <w:style w:type="paragraph" w:customStyle="1" w:styleId="Revision2">
    <w:name w:val="Revision2"/>
    <w:hidden/>
    <w:uiPriority w:val="99"/>
    <w:semiHidden/>
    <w:qFormat/>
    <w:rsid w:val="00440CAD"/>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www.amazon.com/-/zh/s/ref=dp_byline_sr_book_1?ie=UTF8&amp;field-author=Victor+C+Chen&amp;text=Victor+C+Chen&amp;sort=relevancerank&amp;search-alias=book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FF24B3-8E78-40FE-906B-B98D35E39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756</TotalTime>
  <Pages>9</Pages>
  <Words>4046</Words>
  <Characters>23066</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27058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Kevin Lin</cp:lastModifiedBy>
  <cp:revision>67</cp:revision>
  <cp:lastPrinted>2007-08-20T14:45:00Z</cp:lastPrinted>
  <dcterms:created xsi:type="dcterms:W3CDTF">2024-09-13T03:20:00Z</dcterms:created>
  <dcterms:modified xsi:type="dcterms:W3CDTF">2024-10-04T10:25:00Z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65B4EB2847784274907DB87FA4968546</vt:lpwstr>
  </property>
</Properties>
</file>